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948"/>
        <w:spacing w:after="0"/>
        <w:rPr>
          <w:sz w:val="20"/>
          <w:szCs w:val="20"/>
          <w:color w:val="auto"/>
        </w:rPr>
      </w:pPr>
      <w:r>
        <w:rPr>
          <w:rFonts w:ascii="Courier New" w:cs="Courier New" w:eastAsia="Courier New" w:hAnsi="Courier New"/>
          <w:sz w:val="15"/>
          <w:szCs w:val="15"/>
          <w:color w:val="auto"/>
        </w:rPr>
        <w:t>UNITED STATES</w:t>
      </w:r>
    </w:p>
    <w:p>
      <w:pPr>
        <w:spacing w:after="0" w:line="2" w:lineRule="exact"/>
        <w:rPr>
          <w:sz w:val="24"/>
          <w:szCs w:val="24"/>
          <w:color w:val="auto"/>
        </w:rPr>
      </w:pPr>
    </w:p>
    <w:p>
      <w:pPr>
        <w:ind w:left="2228"/>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ind w:left="2688"/>
        <w:spacing w:after="0"/>
        <w:rPr>
          <w:sz w:val="20"/>
          <w:szCs w:val="20"/>
          <w:color w:val="auto"/>
        </w:rPr>
      </w:pPr>
      <w:r>
        <w:rPr>
          <w:rFonts w:ascii="Courier New" w:cs="Courier New" w:eastAsia="Courier New" w:hAnsi="Courier New"/>
          <w:sz w:val="15"/>
          <w:szCs w:val="15"/>
          <w:color w:val="auto"/>
        </w:rPr>
        <w:t>Washington, DC 20549</w:t>
      </w:r>
    </w:p>
    <w:p>
      <w:pPr>
        <w:spacing w:after="0" w:line="174" w:lineRule="exact"/>
        <w:rPr>
          <w:sz w:val="24"/>
          <w:szCs w:val="24"/>
          <w:color w:val="auto"/>
        </w:rPr>
      </w:pPr>
    </w:p>
    <w:p>
      <w:pPr>
        <w:ind w:left="3048"/>
        <w:spacing w:after="0"/>
        <w:rPr>
          <w:sz w:val="20"/>
          <w:szCs w:val="20"/>
          <w:color w:val="auto"/>
        </w:rPr>
      </w:pPr>
      <w:r>
        <w:rPr>
          <w:rFonts w:ascii="Courier New" w:cs="Courier New" w:eastAsia="Courier New" w:hAnsi="Courier New"/>
          <w:sz w:val="15"/>
          <w:szCs w:val="15"/>
          <w:color w:val="auto"/>
        </w:rPr>
        <w:t>FORM 10-Q</w:t>
      </w:r>
    </w:p>
    <w:p>
      <w:pPr>
        <w:spacing w:after="0" w:line="174" w:lineRule="exact"/>
        <w:rPr>
          <w:sz w:val="24"/>
          <w:szCs w:val="24"/>
          <w:color w:val="auto"/>
        </w:rPr>
      </w:pPr>
    </w:p>
    <w:p>
      <w:pPr>
        <w:ind w:left="708"/>
        <w:spacing w:after="0"/>
        <w:rPr>
          <w:sz w:val="20"/>
          <w:szCs w:val="20"/>
          <w:color w:val="auto"/>
        </w:rPr>
      </w:pPr>
      <w:r>
        <w:rPr>
          <w:rFonts w:ascii="Courier New" w:cs="Courier New" w:eastAsia="Courier New" w:hAnsi="Courier New"/>
          <w:sz w:val="15"/>
          <w:szCs w:val="15"/>
          <w:color w:val="auto"/>
        </w:rPr>
        <w:t>(MARK ONE)</w:t>
      </w:r>
    </w:p>
    <w:p>
      <w:pPr>
        <w:spacing w:after="0" w:line="4" w:lineRule="exact"/>
        <w:rPr>
          <w:sz w:val="24"/>
          <w:szCs w:val="24"/>
          <w:color w:val="auto"/>
        </w:rPr>
      </w:pPr>
    </w:p>
    <w:p>
      <w:pPr>
        <w:ind w:left="708" w:right="5800" w:hanging="708"/>
        <w:spacing w:after="0"/>
        <w:tabs>
          <w:tab w:leader="none" w:pos="261"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X ] QUARTERLY REPORT PURSUANT TO SECTION 13 OR 15 (d) OF THE SECURITIES EXCHANGE ACT OF 1934</w:t>
      </w:r>
    </w:p>
    <w:p>
      <w:pPr>
        <w:spacing w:after="0" w:line="174" w:lineRule="exact"/>
        <w:rPr>
          <w:sz w:val="24"/>
          <w:szCs w:val="24"/>
          <w:color w:val="auto"/>
        </w:rPr>
      </w:pPr>
    </w:p>
    <w:p>
      <w:pPr>
        <w:ind w:left="8"/>
        <w:spacing w:after="0"/>
        <w:tabs>
          <w:tab w:leader="none" w:pos="4008" w:val="left"/>
        </w:tabs>
        <w:rPr>
          <w:sz w:val="20"/>
          <w:szCs w:val="20"/>
          <w:color w:val="auto"/>
        </w:rPr>
      </w:pPr>
      <w:r>
        <w:rPr>
          <w:rFonts w:ascii="Courier New" w:cs="Courier New" w:eastAsia="Courier New" w:hAnsi="Courier New"/>
          <w:sz w:val="15"/>
          <w:szCs w:val="15"/>
          <w:color w:val="auto"/>
        </w:rPr>
        <w:t>For the quarterly period ended May 1, 1994</w:t>
      </w:r>
      <w:r>
        <w:rPr>
          <w:sz w:val="20"/>
          <w:szCs w:val="20"/>
          <w:color w:val="auto"/>
        </w:rPr>
        <w:tab/>
      </w:r>
      <w:r>
        <w:rPr>
          <w:rFonts w:ascii="Courier New" w:cs="Courier New" w:eastAsia="Courier New" w:hAnsi="Courier New"/>
          <w:sz w:val="15"/>
          <w:szCs w:val="15"/>
          <w:color w:val="auto"/>
        </w:rPr>
        <w:t>or</w:t>
      </w:r>
    </w:p>
    <w:p>
      <w:pPr>
        <w:spacing w:after="0" w:line="348" w:lineRule="exact"/>
        <w:rPr>
          <w:sz w:val="24"/>
          <w:szCs w:val="24"/>
          <w:color w:val="auto"/>
        </w:rPr>
      </w:pPr>
    </w:p>
    <w:p>
      <w:pPr>
        <w:ind w:left="1428" w:right="5360" w:hanging="1428"/>
        <w:spacing w:after="0"/>
        <w:tabs>
          <w:tab w:leader="none" w:pos="712"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 (d) OF THE SECURITIES EXCHANGE ACT OF 1934</w:t>
      </w:r>
    </w:p>
    <w:p>
      <w:pPr>
        <w:sectPr>
          <w:pgSz w:w="11900" w:h="16838" w:orient="portrait"/>
          <w:cols w:equalWidth="0" w:num="1">
            <w:col w:w="11528"/>
          </w:cols>
          <w:pgMar w:left="232" w:top="575" w:right="139" w:bottom="0" w:gutter="0" w:footer="0" w:header="0"/>
        </w:sectPr>
      </w:pPr>
    </w:p>
    <w:p>
      <w:pPr>
        <w:spacing w:after="0" w:line="176"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For the transition period from _______________</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to</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_______________</w:t>
      </w:r>
    </w:p>
    <w:p>
      <w:pPr>
        <w:spacing w:after="0" w:line="185" w:lineRule="exact"/>
        <w:rPr>
          <w:sz w:val="24"/>
          <w:szCs w:val="24"/>
          <w:color w:val="auto"/>
        </w:rPr>
      </w:pPr>
    </w:p>
    <w:p>
      <w:pPr>
        <w:sectPr>
          <w:pgSz w:w="11900" w:h="16838" w:orient="portrait"/>
          <w:cols w:equalWidth="0" w:num="3">
            <w:col w:w="4108" w:space="180"/>
            <w:col w:w="180" w:space="180"/>
            <w:col w:w="6880"/>
          </w:cols>
          <w:pgMar w:left="232" w:top="575" w:right="139" w:bottom="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0-6920</w:t>
      </w:r>
    </w:p>
    <w:p>
      <w:pPr>
        <w:spacing w:after="0" w:line="200" w:lineRule="exact"/>
        <w:rPr>
          <w:sz w:val="24"/>
          <w:szCs w:val="24"/>
          <w:color w:val="auto"/>
        </w:rPr>
      </w:pPr>
    </w:p>
    <w:p>
      <w:pPr>
        <w:sectPr>
          <w:pgSz w:w="11900" w:h="16838" w:orient="portrait"/>
          <w:cols w:equalWidth="0" w:num="2">
            <w:col w:w="1968" w:space="260"/>
            <w:col w:w="9300"/>
          </w:cols>
          <w:pgMar w:left="232" w:top="575" w:right="139" w:bottom="0" w:gutter="0" w:footer="0" w:header="0"/>
          <w:type w:val="continuous"/>
        </w:sectPr>
      </w:pPr>
    </w:p>
    <w:p>
      <w:pPr>
        <w:spacing w:after="0" w:line="156"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APPLIED MATERIALS, INC.</w:t>
      </w: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74" w:lineRule="exact"/>
        <w:rPr>
          <w:sz w:val="24"/>
          <w:szCs w:val="24"/>
          <w:color w:val="auto"/>
        </w:rPr>
      </w:pPr>
    </w:p>
    <w:p>
      <w:pPr>
        <w:ind w:left="8"/>
        <w:spacing w:after="0"/>
        <w:tabs>
          <w:tab w:leader="none" w:pos="1408" w:val="left"/>
        </w:tabs>
        <w:rPr>
          <w:sz w:val="20"/>
          <w:szCs w:val="20"/>
          <w:color w:val="auto"/>
        </w:rPr>
      </w:pPr>
      <w:r>
        <w:rPr>
          <w:rFonts w:ascii="Courier New" w:cs="Courier New" w:eastAsia="Courier New" w:hAnsi="Courier New"/>
          <w:sz w:val="15"/>
          <w:szCs w:val="15"/>
          <w:color w:val="auto"/>
        </w:rPr>
        <w:t>Delaware</w:t>
      </w:r>
      <w:r>
        <w:rPr>
          <w:sz w:val="20"/>
          <w:szCs w:val="20"/>
          <w:color w:val="auto"/>
        </w:rPr>
        <w:tab/>
      </w:r>
      <w:r>
        <w:rPr>
          <w:rFonts w:ascii="Courier New" w:cs="Courier New" w:eastAsia="Courier New" w:hAnsi="Courier New"/>
          <w:sz w:val="15"/>
          <w:szCs w:val="15"/>
          <w:color w:val="auto"/>
        </w:rPr>
        <w:t>94-1655526</w:t>
      </w:r>
    </w:p>
    <w:p>
      <w:pPr>
        <w:spacing w:after="0" w:line="2" w:lineRule="exact"/>
        <w:rPr>
          <w:sz w:val="24"/>
          <w:szCs w:val="24"/>
          <w:color w:val="auto"/>
        </w:rPr>
      </w:pPr>
    </w:p>
    <w:p>
      <w:pPr>
        <w:ind w:left="8"/>
        <w:spacing w:after="0"/>
        <w:tabs>
          <w:tab w:leader="none" w:pos="2848" w:val="left"/>
        </w:tabs>
        <w:rPr>
          <w:sz w:val="20"/>
          <w:szCs w:val="20"/>
          <w:color w:val="auto"/>
        </w:rPr>
      </w:pPr>
      <w:r>
        <w:rPr>
          <w:rFonts w:ascii="Courier New" w:cs="Courier New" w:eastAsia="Courier New" w:hAnsi="Courier New"/>
          <w:sz w:val="15"/>
          <w:szCs w:val="15"/>
          <w:color w:val="auto"/>
        </w:rPr>
        <w:t>(State or other jurisdiction</w:t>
      </w:r>
      <w:r>
        <w:rPr>
          <w:sz w:val="20"/>
          <w:szCs w:val="20"/>
          <w:color w:val="auto"/>
        </w:rPr>
        <w:tab/>
      </w:r>
      <w:r>
        <w:rPr>
          <w:rFonts w:ascii="Courier New" w:cs="Courier New" w:eastAsia="Courier New" w:hAnsi="Courier New"/>
          <w:sz w:val="14"/>
          <w:szCs w:val="14"/>
          <w:color w:val="auto"/>
        </w:rPr>
        <w:t>(I.R.S. Employer</w:t>
      </w:r>
    </w:p>
    <w:p>
      <w:pPr>
        <w:spacing w:after="0" w:line="2" w:lineRule="exact"/>
        <w:rPr>
          <w:sz w:val="24"/>
          <w:szCs w:val="24"/>
          <w:color w:val="auto"/>
        </w:rPr>
      </w:pPr>
    </w:p>
    <w:p>
      <w:pPr>
        <w:ind w:left="8"/>
        <w:spacing w:after="0"/>
        <w:tabs>
          <w:tab w:leader="none" w:pos="3568" w:val="left"/>
        </w:tabs>
        <w:rPr>
          <w:sz w:val="20"/>
          <w:szCs w:val="20"/>
          <w:color w:val="auto"/>
        </w:rPr>
      </w:pPr>
      <w:r>
        <w:rPr>
          <w:rFonts w:ascii="Courier New" w:cs="Courier New" w:eastAsia="Courier New" w:hAnsi="Courier New"/>
          <w:sz w:val="15"/>
          <w:szCs w:val="15"/>
          <w:color w:val="auto"/>
        </w:rPr>
        <w:t>of incorporation or organization)</w:t>
      </w:r>
      <w:r>
        <w:rPr>
          <w:sz w:val="20"/>
          <w:szCs w:val="20"/>
          <w:color w:val="auto"/>
        </w:rPr>
        <w:tab/>
      </w:r>
      <w:r>
        <w:rPr>
          <w:rFonts w:ascii="Courier New" w:cs="Courier New" w:eastAsia="Courier New" w:hAnsi="Courier New"/>
          <w:sz w:val="14"/>
          <w:szCs w:val="14"/>
          <w:color w:val="auto"/>
        </w:rPr>
        <w:t>Identification No.)</w:t>
      </w:r>
    </w:p>
    <w:p>
      <w:pPr>
        <w:spacing w:after="0" w:line="174" w:lineRule="exact"/>
        <w:rPr>
          <w:sz w:val="24"/>
          <w:szCs w:val="24"/>
          <w:color w:val="auto"/>
        </w:rPr>
      </w:pPr>
    </w:p>
    <w:p>
      <w:pPr>
        <w:ind w:left="8"/>
        <w:spacing w:after="0"/>
        <w:tabs>
          <w:tab w:leader="none" w:pos="4268" w:val="left"/>
        </w:tabs>
        <w:rPr>
          <w:sz w:val="20"/>
          <w:szCs w:val="20"/>
          <w:color w:val="auto"/>
        </w:rPr>
      </w:pPr>
      <w:r>
        <w:rPr>
          <w:rFonts w:ascii="Courier New" w:cs="Courier New" w:eastAsia="Courier New" w:hAnsi="Courier New"/>
          <w:sz w:val="15"/>
          <w:szCs w:val="15"/>
          <w:color w:val="auto"/>
        </w:rPr>
        <w:t>3050 Bowers Avenue, Santa Clara, California</w:t>
      </w:r>
      <w:r>
        <w:rPr>
          <w:sz w:val="20"/>
          <w:szCs w:val="20"/>
          <w:color w:val="auto"/>
        </w:rPr>
        <w:tab/>
      </w:r>
      <w:r>
        <w:rPr>
          <w:rFonts w:ascii="Courier New" w:cs="Courier New" w:eastAsia="Courier New" w:hAnsi="Courier New"/>
          <w:sz w:val="14"/>
          <w:szCs w:val="14"/>
          <w:color w:val="auto"/>
        </w:rPr>
        <w:t>95054-3299</w:t>
      </w:r>
    </w:p>
    <w:p>
      <w:pPr>
        <w:spacing w:after="0" w:line="2" w:lineRule="exact"/>
        <w:rPr>
          <w:sz w:val="24"/>
          <w:szCs w:val="24"/>
          <w:color w:val="auto"/>
        </w:rPr>
      </w:pPr>
    </w:p>
    <w:p>
      <w:pPr>
        <w:ind w:left="8"/>
        <w:spacing w:after="0"/>
        <w:tabs>
          <w:tab w:leader="none" w:pos="3568" w:val="left"/>
        </w:tabs>
        <w:rPr>
          <w:sz w:val="20"/>
          <w:szCs w:val="20"/>
          <w:color w:val="auto"/>
        </w:rPr>
      </w:pPr>
      <w:r>
        <w:rPr>
          <w:rFonts w:ascii="Courier New" w:cs="Courier New" w:eastAsia="Courier New" w:hAnsi="Courier New"/>
          <w:sz w:val="15"/>
          <w:szCs w:val="15"/>
          <w:color w:val="auto"/>
        </w:rPr>
        <w:t>Address of principal executive offices</w:t>
      </w:r>
      <w:r>
        <w:rPr>
          <w:sz w:val="20"/>
          <w:szCs w:val="20"/>
          <w:color w:val="auto"/>
        </w:rPr>
        <w:tab/>
      </w:r>
      <w:r>
        <w:rPr>
          <w:rFonts w:ascii="Courier New" w:cs="Courier New" w:eastAsia="Courier New" w:hAnsi="Courier New"/>
          <w:sz w:val="14"/>
          <w:szCs w:val="14"/>
          <w:color w:val="auto"/>
        </w:rPr>
        <w:t>(Zip Code)</w:t>
      </w:r>
    </w:p>
    <w:p>
      <w:pPr>
        <w:sectPr>
          <w:pgSz w:w="11900" w:h="16838" w:orient="portrait"/>
          <w:cols w:equalWidth="0" w:num="1">
            <w:col w:w="11528"/>
          </w:cols>
          <w:pgMar w:left="232" w:top="575" w:right="139" w:bottom="0" w:gutter="0" w:footer="0" w:header="0"/>
          <w:type w:val="continuous"/>
        </w:sectPr>
      </w:pPr>
    </w:p>
    <w:p>
      <w:pPr>
        <w:spacing w:after="0" w:line="176"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5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(408) 727-5555</w:t>
      </w:r>
    </w:p>
    <w:p>
      <w:pPr>
        <w:spacing w:after="0" w:line="200" w:lineRule="exact"/>
        <w:rPr>
          <w:sz w:val="24"/>
          <w:szCs w:val="24"/>
          <w:color w:val="auto"/>
        </w:rPr>
      </w:pPr>
    </w:p>
    <w:p>
      <w:pPr>
        <w:sectPr>
          <w:pgSz w:w="11900" w:h="16838" w:orient="portrait"/>
          <w:cols w:equalWidth="0" w:num="2">
            <w:col w:w="4468" w:space="540"/>
            <w:col w:w="6520"/>
          </w:cols>
          <w:pgMar w:left="232" w:top="575" w:right="139" w:bottom="0" w:gutter="0" w:footer="0" w:header="0"/>
          <w:type w:val="continuous"/>
        </w:sectPr>
      </w:pPr>
    </w:p>
    <w:p>
      <w:pPr>
        <w:spacing w:after="0" w:line="157" w:lineRule="exact"/>
        <w:rPr>
          <w:sz w:val="24"/>
          <w:szCs w:val="24"/>
          <w:color w:val="auto"/>
        </w:rPr>
      </w:pPr>
    </w:p>
    <w:p>
      <w:pPr>
        <w:ind w:left="708"/>
        <w:spacing w:after="0"/>
        <w:rPr>
          <w:sz w:val="20"/>
          <w:szCs w:val="20"/>
          <w:color w:val="auto"/>
        </w:rPr>
      </w:pPr>
      <w:r>
        <w:rPr>
          <w:rFonts w:ascii="Courier New" w:cs="Courier New" w:eastAsia="Courier New" w:hAnsi="Courier New"/>
          <w:sz w:val="14"/>
          <w:szCs w:val="14"/>
          <w:color w:val="auto"/>
        </w:rPr>
        <w:t>Indicate by check mark whether the registrant (1) has filed all reports</w:t>
      </w:r>
    </w:p>
    <w:p>
      <w:pPr>
        <w:spacing w:after="0" w:line="12" w:lineRule="exact"/>
        <w:rPr>
          <w:sz w:val="24"/>
          <w:szCs w:val="24"/>
          <w:color w:val="auto"/>
        </w:rPr>
      </w:pPr>
    </w:p>
    <w:p>
      <w:pPr>
        <w:ind w:left="88"/>
        <w:spacing w:after="0"/>
        <w:rPr>
          <w:sz w:val="20"/>
          <w:szCs w:val="20"/>
          <w:color w:val="auto"/>
        </w:rPr>
      </w:pPr>
      <w:r>
        <w:rPr>
          <w:rFonts w:ascii="Courier New" w:cs="Courier New" w:eastAsia="Courier New" w:hAnsi="Courier New"/>
          <w:sz w:val="15"/>
          <w:szCs w:val="15"/>
          <w:color w:val="auto"/>
        </w:rPr>
        <w:t>required to be filed by Section 13 or 15(d) of the Securities Exchange Act</w:t>
      </w:r>
    </w:p>
    <w:p>
      <w:pPr>
        <w:spacing w:after="0" w:line="2" w:lineRule="exact"/>
        <w:rPr>
          <w:sz w:val="24"/>
          <w:szCs w:val="24"/>
          <w:color w:val="auto"/>
        </w:rPr>
      </w:pPr>
    </w:p>
    <w:p>
      <w:pPr>
        <w:ind w:left="88"/>
        <w:spacing w:after="0"/>
        <w:rPr>
          <w:sz w:val="20"/>
          <w:szCs w:val="20"/>
          <w:color w:val="auto"/>
        </w:rPr>
      </w:pPr>
      <w:r>
        <w:rPr>
          <w:rFonts w:ascii="Courier New" w:cs="Courier New" w:eastAsia="Courier New" w:hAnsi="Courier New"/>
          <w:sz w:val="15"/>
          <w:szCs w:val="15"/>
          <w:color w:val="auto"/>
        </w:rPr>
        <w:t>of 1934 during the preceding 12 months (or for such shorter period that the</w:t>
      </w:r>
    </w:p>
    <w:p>
      <w:pPr>
        <w:spacing w:after="0" w:line="2" w:lineRule="exact"/>
        <w:rPr>
          <w:sz w:val="24"/>
          <w:szCs w:val="24"/>
          <w:color w:val="auto"/>
        </w:rPr>
      </w:pPr>
    </w:p>
    <w:p>
      <w:pPr>
        <w:ind w:left="88"/>
        <w:spacing w:after="0"/>
        <w:rPr>
          <w:sz w:val="20"/>
          <w:szCs w:val="20"/>
          <w:color w:val="auto"/>
        </w:rPr>
      </w:pPr>
      <w:r>
        <w:rPr>
          <w:rFonts w:ascii="Courier New" w:cs="Courier New" w:eastAsia="Courier New" w:hAnsi="Courier New"/>
          <w:sz w:val="15"/>
          <w:szCs w:val="15"/>
          <w:color w:val="auto"/>
        </w:rPr>
        <w:t>registrant was required to file such reports), and (2)</w:t>
      </w:r>
    </w:p>
    <w:p>
      <w:pPr>
        <w:spacing w:after="0" w:line="2" w:lineRule="exact"/>
        <w:rPr>
          <w:sz w:val="24"/>
          <w:szCs w:val="24"/>
          <w:color w:val="auto"/>
        </w:rPr>
      </w:pPr>
    </w:p>
    <w:p>
      <w:pPr>
        <w:ind w:left="88"/>
        <w:spacing w:after="0"/>
        <w:tabs>
          <w:tab w:leader="none" w:pos="5348" w:val="left"/>
          <w:tab w:leader="none" w:pos="5788" w:val="left"/>
          <w:tab w:leader="none" w:pos="6248" w:val="left"/>
          <w:tab w:leader="none" w:pos="6948" w:val="left"/>
        </w:tabs>
        <w:rPr>
          <w:sz w:val="20"/>
          <w:szCs w:val="20"/>
          <w:color w:val="auto"/>
        </w:rPr>
      </w:pPr>
      <w:r>
        <w:rPr>
          <w:rFonts w:ascii="Courier New" w:cs="Courier New" w:eastAsia="Courier New" w:hAnsi="Courier New"/>
          <w:sz w:val="15"/>
          <w:szCs w:val="15"/>
          <w:color w:val="auto"/>
        </w:rPr>
        <w:t>subject to such filing requirements for the past 90 days.</w:t>
        <w:tab/>
        <w:t>Yes</w:t>
        <w:tab/>
        <w:t>X</w:t>
      </w:r>
      <w:r>
        <w:rPr>
          <w:sz w:val="20"/>
          <w:szCs w:val="20"/>
          <w:color w:val="auto"/>
        </w:rPr>
        <w:tab/>
      </w:r>
      <w:r>
        <w:rPr>
          <w:rFonts w:ascii="Courier New" w:cs="Courier New" w:eastAsia="Courier New" w:hAnsi="Courier New"/>
          <w:sz w:val="15"/>
          <w:szCs w:val="15"/>
          <w:color w:val="auto"/>
        </w:rPr>
        <w:t>No</w:t>
      </w:r>
      <w:r>
        <w:rPr>
          <w:sz w:val="20"/>
          <w:szCs w:val="20"/>
          <w:color w:val="auto"/>
        </w:rPr>
        <w:tab/>
      </w:r>
      <w:r>
        <w:rPr>
          <w:rFonts w:ascii="Courier New" w:cs="Courier New" w:eastAsia="Courier New" w:hAnsi="Courier New"/>
          <w:sz w:val="15"/>
          <w:szCs w:val="15"/>
          <w:color w:val="auto"/>
        </w:rPr>
        <w:t>.</w:t>
      </w:r>
    </w:p>
    <w:p>
      <w:pPr>
        <w:spacing w:after="0" w:line="174" w:lineRule="exact"/>
        <w:rPr>
          <w:sz w:val="24"/>
          <w:szCs w:val="24"/>
          <w:color w:val="auto"/>
        </w:rPr>
      </w:pPr>
    </w:p>
    <w:p>
      <w:pPr>
        <w:ind w:left="88"/>
        <w:spacing w:after="0"/>
        <w:rPr>
          <w:sz w:val="20"/>
          <w:szCs w:val="20"/>
          <w:color w:val="auto"/>
        </w:rPr>
      </w:pPr>
      <w:r>
        <w:rPr>
          <w:rFonts w:ascii="Courier New" w:cs="Courier New" w:eastAsia="Courier New" w:hAnsi="Courier New"/>
          <w:sz w:val="15"/>
          <w:szCs w:val="15"/>
          <w:color w:val="auto"/>
        </w:rPr>
        <w:t>Number of shares outstanding of the issuer's common stock as of</w:t>
      </w:r>
    </w:p>
    <w:p>
      <w:pPr>
        <w:spacing w:after="0" w:line="2" w:lineRule="exact"/>
        <w:rPr>
          <w:sz w:val="24"/>
          <w:szCs w:val="24"/>
          <w:color w:val="auto"/>
        </w:rPr>
      </w:pPr>
    </w:p>
    <w:p>
      <w:pPr>
        <w:ind w:left="88"/>
        <w:spacing w:after="0"/>
        <w:rPr>
          <w:sz w:val="20"/>
          <w:szCs w:val="20"/>
          <w:color w:val="auto"/>
        </w:rPr>
      </w:pPr>
      <w:r>
        <w:rPr>
          <w:rFonts w:ascii="Courier New" w:cs="Courier New" w:eastAsia="Courier New" w:hAnsi="Courier New"/>
          <w:sz w:val="15"/>
          <w:szCs w:val="15"/>
          <w:color w:val="auto"/>
        </w:rPr>
        <w:t>May 1, 1994: 83,402,000</w:t>
      </w:r>
    </w:p>
    <w:p>
      <w:pPr>
        <w:sectPr>
          <w:pgSz w:w="11900" w:h="16838" w:orient="portrait"/>
          <w:cols w:equalWidth="0" w:num="1">
            <w:col w:w="11528"/>
          </w:cols>
          <w:pgMar w:left="232" w:top="575" w:right="1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90" w:lineRule="exact"/>
        <w:rPr>
          <w:sz w:val="24"/>
          <w:szCs w:val="24"/>
          <w:color w:val="auto"/>
        </w:rPr>
      </w:pPr>
    </w:p>
    <w:p>
      <w:pPr>
        <w:ind w:left="8"/>
        <w:spacing w:after="0"/>
        <w:tabs>
          <w:tab w:leader="none" w:pos="788"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74" w:lineRule="exact"/>
        <w:rPr>
          <w:sz w:val="24"/>
          <w:szCs w:val="24"/>
          <w:color w:val="auto"/>
        </w:rPr>
      </w:pPr>
    </w:p>
    <w:p>
      <w:pPr>
        <w:ind w:left="2868"/>
        <w:spacing w:after="0"/>
        <w:rPr>
          <w:sz w:val="20"/>
          <w:szCs w:val="20"/>
          <w:color w:val="auto"/>
        </w:rPr>
      </w:pPr>
      <w:r>
        <w:rPr>
          <w:rFonts w:ascii="Courier New" w:cs="Courier New" w:eastAsia="Courier New" w:hAnsi="Courier New"/>
          <w:sz w:val="15"/>
          <w:szCs w:val="15"/>
          <w:color w:val="auto"/>
        </w:rPr>
        <w:t>APPLIED MATERIALS, INC.</w:t>
      </w:r>
    </w:p>
    <w:p>
      <w:pPr>
        <w:spacing w:after="0" w:line="2" w:lineRule="exact"/>
        <w:rPr>
          <w:sz w:val="24"/>
          <w:szCs w:val="24"/>
          <w:color w:val="auto"/>
        </w:rPr>
      </w:pPr>
    </w:p>
    <w:p>
      <w:pPr>
        <w:ind w:left="2148"/>
        <w:spacing w:after="0"/>
        <w:rPr>
          <w:sz w:val="20"/>
          <w:szCs w:val="20"/>
          <w:color w:val="auto"/>
        </w:rPr>
      </w:pPr>
      <w:r>
        <w:rPr>
          <w:rFonts w:ascii="Courier New" w:cs="Courier New" w:eastAsia="Courier New" w:hAnsi="Courier New"/>
          <w:sz w:val="15"/>
          <w:szCs w:val="15"/>
          <w:color w:val="auto"/>
        </w:rPr>
        <w:t>CONSOLIDATED CONDENSED STATEMENTS OF OPERATIONS</w:t>
      </w:r>
    </w:p>
    <w:p>
      <w:pPr>
        <w:spacing w:after="0" w:line="2" w:lineRule="exact"/>
        <w:rPr>
          <w:sz w:val="24"/>
          <w:szCs w:val="24"/>
          <w:color w:val="auto"/>
        </w:rPr>
      </w:pPr>
    </w:p>
    <w:p>
      <w:pPr>
        <w:ind w:left="3588"/>
        <w:spacing w:after="0"/>
        <w:rPr>
          <w:sz w:val="20"/>
          <w:szCs w:val="20"/>
          <w:color w:val="auto"/>
        </w:rPr>
      </w:pPr>
      <w:r>
        <w:rPr>
          <w:rFonts w:ascii="Courier New" w:cs="Courier New" w:eastAsia="Courier New" w:hAnsi="Courier New"/>
          <w:sz w:val="15"/>
          <w:szCs w:val="15"/>
          <w:color w:val="auto"/>
        </w:rPr>
        <w:t>(UNAUDITED)</w:t>
      </w:r>
    </w:p>
    <w:p>
      <w:pPr>
        <w:spacing w:after="0" w:line="346" w:lineRule="exact"/>
        <w:rPr>
          <w:sz w:val="24"/>
          <w:szCs w:val="24"/>
          <w:color w:val="auto"/>
        </w:rPr>
      </w:pPr>
    </w:p>
    <w:tbl>
      <w:tblPr>
        <w:tblLayout w:type="fixed"/>
        <w:tblInd w:w="8" w:type="dxa"/>
        <w:tblCellMar>
          <w:top w:w="0" w:type="dxa"/>
          <w:left w:w="0" w:type="dxa"/>
          <w:bottom w:w="0" w:type="dxa"/>
          <w:right w:w="0" w:type="dxa"/>
        </w:tblCellMar>
      </w:tblPr>
      <w:tr>
        <w:trPr>
          <w:trHeight w:val="170"/>
        </w:trPr>
        <w:tc>
          <w:tcPr>
            <w:tcW w:w="3440" w:type="dxa"/>
            <w:vAlign w:val="bottom"/>
          </w:tcPr>
          <w:p>
            <w:pPr>
              <w:spacing w:after="0"/>
              <w:rPr>
                <w:sz w:val="14"/>
                <w:szCs w:val="14"/>
                <w:color w:val="auto"/>
              </w:rPr>
            </w:pPr>
          </w:p>
        </w:tc>
        <w:tc>
          <w:tcPr>
            <w:tcW w:w="2240" w:type="dxa"/>
            <w:vAlign w:val="bottom"/>
            <w:gridSpan w:val="4"/>
          </w:tcPr>
          <w:p>
            <w:pPr>
              <w:jc w:val="right"/>
              <w:ind w:right="425"/>
              <w:spacing w:after="0"/>
              <w:rPr>
                <w:sz w:val="20"/>
                <w:szCs w:val="20"/>
                <w:color w:val="auto"/>
              </w:rPr>
            </w:pPr>
            <w:r>
              <w:rPr>
                <w:rFonts w:ascii="Courier New" w:cs="Courier New" w:eastAsia="Courier New" w:hAnsi="Courier New"/>
                <w:sz w:val="15"/>
                <w:szCs w:val="15"/>
                <w:color w:val="auto"/>
              </w:rPr>
              <w:t>Three Months Ended</w:t>
            </w:r>
          </w:p>
        </w:tc>
        <w:tc>
          <w:tcPr>
            <w:tcW w:w="14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Six Months Ended</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2"/>
        </w:trPr>
        <w:tc>
          <w:tcPr>
            <w:tcW w:w="3440" w:type="dxa"/>
            <w:vAlign w:val="bottom"/>
          </w:tcPr>
          <w:p>
            <w:pPr>
              <w:spacing w:after="0"/>
              <w:rPr>
                <w:sz w:val="14"/>
                <w:szCs w:val="14"/>
                <w:color w:val="auto"/>
              </w:rPr>
            </w:pPr>
          </w:p>
        </w:tc>
        <w:tc>
          <w:tcPr>
            <w:tcW w:w="720" w:type="dxa"/>
            <w:vAlign w:val="bottom"/>
          </w:tcPr>
          <w:p>
            <w:pPr>
              <w:jc w:val="center"/>
              <w:ind w:left="5"/>
              <w:spacing w:after="0"/>
              <w:rPr>
                <w:sz w:val="20"/>
                <w:szCs w:val="20"/>
                <w:color w:val="auto"/>
              </w:rPr>
            </w:pPr>
            <w:r>
              <w:rPr>
                <w:rFonts w:ascii="Courier New" w:cs="Courier New" w:eastAsia="Courier New" w:hAnsi="Courier New"/>
                <w:sz w:val="15"/>
                <w:szCs w:val="15"/>
                <w:color w:val="auto"/>
                <w:w w:val="96"/>
              </w:rPr>
              <w:t>May 1,</w:t>
            </w:r>
          </w:p>
        </w:tc>
        <w:tc>
          <w:tcPr>
            <w:tcW w:w="220" w:type="dxa"/>
            <w:vAlign w:val="bottom"/>
          </w:tcPr>
          <w:p>
            <w:pPr>
              <w:spacing w:after="0"/>
              <w:rPr>
                <w:sz w:val="14"/>
                <w:szCs w:val="14"/>
                <w:color w:val="auto"/>
              </w:rPr>
            </w:pPr>
          </w:p>
        </w:tc>
        <w:tc>
          <w:tcPr>
            <w:tcW w:w="13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May 2,</w:t>
            </w:r>
          </w:p>
        </w:tc>
        <w:tc>
          <w:tcPr>
            <w:tcW w:w="580" w:type="dxa"/>
            <w:vAlign w:val="bottom"/>
          </w:tcPr>
          <w:p>
            <w:pPr>
              <w:spacing w:after="0"/>
              <w:rPr>
                <w:sz w:val="14"/>
                <w:szCs w:val="1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May 1,</w:t>
            </w:r>
          </w:p>
        </w:tc>
        <w:tc>
          <w:tcPr>
            <w:tcW w:w="12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May 2,</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(In thousands, except per share data)</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1994</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jc w:val="right"/>
              <w:ind w:right="345"/>
              <w:spacing w:after="0"/>
              <w:rPr>
                <w:sz w:val="20"/>
                <w:szCs w:val="20"/>
                <w:color w:val="auto"/>
              </w:rPr>
            </w:pPr>
            <w:r>
              <w:rPr>
                <w:rFonts w:ascii="Courier New" w:cs="Courier New" w:eastAsia="Courier New" w:hAnsi="Courier New"/>
                <w:sz w:val="15"/>
                <w:szCs w:val="15"/>
                <w:color w:val="auto"/>
                <w:w w:val="88"/>
              </w:rPr>
              <w:t>1993</w:t>
            </w:r>
          </w:p>
        </w:tc>
        <w:tc>
          <w:tcPr>
            <w:tcW w:w="58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1994</w:t>
            </w:r>
          </w:p>
        </w:tc>
        <w:tc>
          <w:tcPr>
            <w:tcW w:w="12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1993</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516"/>
        </w:trPr>
        <w:tc>
          <w:tcPr>
            <w:tcW w:w="34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9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$ 411,332</w:t>
            </w:r>
          </w:p>
        </w:tc>
        <w:tc>
          <w:tcPr>
            <w:tcW w:w="5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255,692</w:t>
            </w:r>
          </w:p>
        </w:tc>
        <w:tc>
          <w:tcPr>
            <w:tcW w:w="580" w:type="dxa"/>
            <w:vAlign w:val="bottom"/>
          </w:tcPr>
          <w:p>
            <w:pPr>
              <w:spacing w:after="0"/>
              <w:rPr>
                <w:sz w:val="24"/>
                <w:szCs w:val="2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751,781</w:t>
            </w:r>
          </w:p>
        </w:tc>
        <w:tc>
          <w:tcPr>
            <w:tcW w:w="580" w:type="dxa"/>
            <w:vAlign w:val="bottom"/>
          </w:tcPr>
          <w:p>
            <w:pPr>
              <w:spacing w:after="0"/>
              <w:rPr>
                <w:sz w:val="24"/>
                <w:szCs w:val="24"/>
                <w:color w:val="auto"/>
              </w:rPr>
            </w:pP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471,266</w:t>
            </w:r>
          </w:p>
        </w:tc>
        <w:tc>
          <w:tcPr>
            <w:tcW w:w="1560" w:type="dxa"/>
            <w:vAlign w:val="bottom"/>
          </w:tcPr>
          <w:p>
            <w:pPr>
              <w:spacing w:after="0"/>
              <w:rPr>
                <w:sz w:val="24"/>
                <w:szCs w:val="24"/>
                <w:color w:val="auto"/>
              </w:rPr>
            </w:pPr>
          </w:p>
        </w:tc>
      </w:tr>
      <w:tr>
        <w:trPr>
          <w:trHeight w:val="344"/>
        </w:trPr>
        <w:tc>
          <w:tcPr>
            <w:tcW w:w="344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2"/>
        </w:trPr>
        <w:tc>
          <w:tcPr>
            <w:tcW w:w="3440" w:type="dxa"/>
            <w:vAlign w:val="bottom"/>
          </w:tcPr>
          <w:p>
            <w:pPr>
              <w:ind w:left="700"/>
              <w:spacing w:after="0"/>
              <w:rPr>
                <w:sz w:val="20"/>
                <w:szCs w:val="20"/>
                <w:color w:val="auto"/>
              </w:rPr>
            </w:pPr>
            <w:r>
              <w:rPr>
                <w:rFonts w:ascii="Courier New" w:cs="Courier New" w:eastAsia="Courier New" w:hAnsi="Courier New"/>
                <w:sz w:val="15"/>
                <w:szCs w:val="15"/>
                <w:color w:val="auto"/>
              </w:rPr>
              <w:t>Cost of products sold</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Courier New" w:cs="Courier New" w:eastAsia="Courier New" w:hAnsi="Courier New"/>
                <w:sz w:val="15"/>
                <w:szCs w:val="15"/>
                <w:color w:val="auto"/>
              </w:rPr>
              <w:t>221,941</w:t>
            </w:r>
          </w:p>
        </w:tc>
        <w:tc>
          <w:tcPr>
            <w:tcW w:w="580" w:type="dxa"/>
            <w:vAlign w:val="bottom"/>
          </w:tcPr>
          <w:p>
            <w:pPr>
              <w:spacing w:after="0"/>
              <w:rPr>
                <w:sz w:val="14"/>
                <w:szCs w:val="14"/>
                <w:color w:val="auto"/>
              </w:rPr>
            </w:pPr>
          </w:p>
        </w:tc>
        <w:tc>
          <w:tcPr>
            <w:tcW w:w="156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145,176</w:t>
            </w:r>
          </w:p>
        </w:tc>
        <w:tc>
          <w:tcPr>
            <w:tcW w:w="580" w:type="dxa"/>
            <w:vAlign w:val="bottom"/>
          </w:tcPr>
          <w:p>
            <w:pPr>
              <w:spacing w:after="0"/>
              <w:rPr>
                <w:sz w:val="14"/>
                <w:szCs w:val="14"/>
                <w:color w:val="auto"/>
              </w:rPr>
            </w:pPr>
          </w:p>
        </w:tc>
        <w:tc>
          <w:tcPr>
            <w:tcW w:w="15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406,411</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269,143</w:t>
            </w:r>
          </w:p>
        </w:tc>
      </w:tr>
      <w:tr>
        <w:trPr>
          <w:trHeight w:val="172"/>
        </w:trPr>
        <w:tc>
          <w:tcPr>
            <w:tcW w:w="3440" w:type="dxa"/>
            <w:vAlign w:val="bottom"/>
          </w:tcPr>
          <w:p>
            <w:pPr>
              <w:ind w:left="700"/>
              <w:spacing w:after="0"/>
              <w:rPr>
                <w:sz w:val="20"/>
                <w:szCs w:val="20"/>
                <w:color w:val="auto"/>
              </w:rPr>
            </w:pPr>
            <w:r>
              <w:rPr>
                <w:rFonts w:ascii="Courier New" w:cs="Courier New" w:eastAsia="Courier New" w:hAnsi="Courier New"/>
                <w:sz w:val="15"/>
                <w:szCs w:val="15"/>
                <w:color w:val="auto"/>
              </w:rPr>
              <w:t>Research, development</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2"/>
        </w:trPr>
        <w:tc>
          <w:tcPr>
            <w:tcW w:w="3440" w:type="dxa"/>
            <w:vAlign w:val="bottom"/>
          </w:tcPr>
          <w:p>
            <w:pPr>
              <w:ind w:left="700"/>
              <w:spacing w:after="0"/>
              <w:rPr>
                <w:sz w:val="20"/>
                <w:szCs w:val="20"/>
                <w:color w:val="auto"/>
              </w:rPr>
            </w:pPr>
            <w:r>
              <w:rPr>
                <w:rFonts w:ascii="Courier New" w:cs="Courier New" w:eastAsia="Courier New" w:hAnsi="Courier New"/>
                <w:sz w:val="15"/>
                <w:szCs w:val="15"/>
                <w:color w:val="auto"/>
              </w:rPr>
              <w:t>and engineering</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345"/>
              <w:spacing w:after="0"/>
              <w:rPr>
                <w:sz w:val="20"/>
                <w:szCs w:val="20"/>
                <w:color w:val="auto"/>
              </w:rPr>
            </w:pPr>
            <w:r>
              <w:rPr>
                <w:rFonts w:ascii="Courier New" w:cs="Courier New" w:eastAsia="Courier New" w:hAnsi="Courier New"/>
                <w:sz w:val="15"/>
                <w:szCs w:val="15"/>
                <w:color w:val="auto"/>
              </w:rPr>
              <w:t>43,654</w:t>
            </w:r>
          </w:p>
        </w:tc>
        <w:tc>
          <w:tcPr>
            <w:tcW w:w="58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33,829</w:t>
            </w:r>
          </w:p>
        </w:tc>
        <w:tc>
          <w:tcPr>
            <w:tcW w:w="680" w:type="dxa"/>
            <w:vAlign w:val="bottom"/>
          </w:tcPr>
          <w:p>
            <w:pPr>
              <w:spacing w:after="0"/>
              <w:rPr>
                <w:sz w:val="14"/>
                <w:szCs w:val="14"/>
                <w:color w:val="auto"/>
              </w:rPr>
            </w:pP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82,892</w:t>
            </w:r>
          </w:p>
        </w:tc>
        <w:tc>
          <w:tcPr>
            <w:tcW w:w="720" w:type="dxa"/>
            <w:vAlign w:val="bottom"/>
          </w:tcPr>
          <w:p>
            <w:pPr>
              <w:spacing w:after="0"/>
              <w:rPr>
                <w:sz w:val="14"/>
                <w:szCs w:val="14"/>
                <w:color w:val="auto"/>
              </w:rPr>
            </w:pP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64,014</w:t>
            </w:r>
          </w:p>
        </w:tc>
        <w:tc>
          <w:tcPr>
            <w:tcW w:w="1560" w:type="dxa"/>
            <w:vAlign w:val="bottom"/>
          </w:tcPr>
          <w:p>
            <w:pPr>
              <w:spacing w:after="0"/>
              <w:rPr>
                <w:sz w:val="14"/>
                <w:szCs w:val="14"/>
                <w:color w:val="auto"/>
              </w:rPr>
            </w:pPr>
          </w:p>
        </w:tc>
      </w:tr>
      <w:tr>
        <w:trPr>
          <w:trHeight w:val="172"/>
        </w:trPr>
        <w:tc>
          <w:tcPr>
            <w:tcW w:w="3440" w:type="dxa"/>
            <w:vAlign w:val="bottom"/>
          </w:tcPr>
          <w:p>
            <w:pPr>
              <w:ind w:left="700"/>
              <w:spacing w:after="0"/>
              <w:rPr>
                <w:sz w:val="20"/>
                <w:szCs w:val="20"/>
                <w:color w:val="auto"/>
              </w:rPr>
            </w:pPr>
            <w:r>
              <w:rPr>
                <w:rFonts w:ascii="Courier New" w:cs="Courier New" w:eastAsia="Courier New" w:hAnsi="Courier New"/>
                <w:sz w:val="15"/>
                <w:szCs w:val="15"/>
                <w:color w:val="auto"/>
              </w:rPr>
              <w:t>Marketing and selling</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39,370</w:t>
            </w: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Courier New" w:cs="Courier New" w:eastAsia="Courier New" w:hAnsi="Courier New"/>
                <w:sz w:val="15"/>
                <w:szCs w:val="15"/>
                <w:color w:val="auto"/>
              </w:rPr>
              <w:t>25,212</w:t>
            </w:r>
          </w:p>
        </w:tc>
        <w:tc>
          <w:tcPr>
            <w:tcW w:w="58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w w:val="96"/>
              </w:rPr>
              <w:t>73,403</w:t>
            </w:r>
          </w:p>
        </w:tc>
        <w:tc>
          <w:tcPr>
            <w:tcW w:w="840" w:type="dxa"/>
            <w:vAlign w:val="bottom"/>
          </w:tcPr>
          <w:p>
            <w:pPr>
              <w:spacing w:after="0"/>
              <w:rPr>
                <w:sz w:val="14"/>
                <w:szCs w:val="14"/>
                <w:color w:val="auto"/>
              </w:rPr>
            </w:pPr>
          </w:p>
        </w:tc>
        <w:tc>
          <w:tcPr>
            <w:tcW w:w="156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48,596</w:t>
            </w:r>
          </w:p>
        </w:tc>
      </w:tr>
      <w:tr>
        <w:trPr>
          <w:trHeight w:val="172"/>
        </w:trPr>
        <w:tc>
          <w:tcPr>
            <w:tcW w:w="3440" w:type="dxa"/>
            <w:vAlign w:val="bottom"/>
          </w:tcPr>
          <w:p>
            <w:pPr>
              <w:ind w:left="700"/>
              <w:spacing w:after="0"/>
              <w:rPr>
                <w:sz w:val="20"/>
                <w:szCs w:val="20"/>
                <w:color w:val="auto"/>
              </w:rPr>
            </w:pPr>
            <w:r>
              <w:rPr>
                <w:rFonts w:ascii="Courier New" w:cs="Courier New" w:eastAsia="Courier New" w:hAnsi="Courier New"/>
                <w:sz w:val="15"/>
                <w:szCs w:val="15"/>
                <w:color w:val="auto"/>
              </w:rPr>
              <w:t>General and administrative</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20,489</w:t>
            </w:r>
          </w:p>
        </w:tc>
        <w:tc>
          <w:tcPr>
            <w:tcW w:w="880" w:type="dxa"/>
            <w:vAlign w:val="bottom"/>
          </w:tcPr>
          <w:p>
            <w:pPr>
              <w:spacing w:after="0"/>
              <w:rPr>
                <w:sz w:val="14"/>
                <w:szCs w:val="14"/>
                <w:color w:val="auto"/>
              </w:rPr>
            </w:pPr>
          </w:p>
        </w:tc>
        <w:tc>
          <w:tcPr>
            <w:tcW w:w="680" w:type="dxa"/>
            <w:vAlign w:val="bottom"/>
          </w:tcPr>
          <w:p>
            <w:pPr>
              <w:spacing w:after="0"/>
              <w:rPr>
                <w:sz w:val="20"/>
                <w:szCs w:val="20"/>
                <w:color w:val="auto"/>
              </w:rPr>
            </w:pPr>
            <w:r>
              <w:rPr>
                <w:rFonts w:ascii="Courier New" w:cs="Courier New" w:eastAsia="Courier New" w:hAnsi="Courier New"/>
                <w:sz w:val="15"/>
                <w:szCs w:val="15"/>
                <w:color w:val="auto"/>
              </w:rPr>
              <w:t>15,110</w:t>
            </w:r>
          </w:p>
        </w:tc>
        <w:tc>
          <w:tcPr>
            <w:tcW w:w="58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w w:val="96"/>
              </w:rPr>
              <w:t>40,221</w:t>
            </w:r>
          </w:p>
        </w:tc>
        <w:tc>
          <w:tcPr>
            <w:tcW w:w="840" w:type="dxa"/>
            <w:vAlign w:val="bottom"/>
          </w:tcPr>
          <w:p>
            <w:pPr>
              <w:spacing w:after="0"/>
              <w:rPr>
                <w:sz w:val="14"/>
                <w:szCs w:val="14"/>
                <w:color w:val="auto"/>
              </w:rPr>
            </w:pPr>
          </w:p>
        </w:tc>
        <w:tc>
          <w:tcPr>
            <w:tcW w:w="15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28,566</w:t>
            </w:r>
          </w:p>
        </w:tc>
      </w:tr>
      <w:tr>
        <w:trPr>
          <w:trHeight w:val="172"/>
        </w:trPr>
        <w:tc>
          <w:tcPr>
            <w:tcW w:w="3440" w:type="dxa"/>
            <w:vAlign w:val="bottom"/>
          </w:tcPr>
          <w:p>
            <w:pPr>
              <w:ind w:left="700"/>
              <w:spacing w:after="0"/>
              <w:rPr>
                <w:sz w:val="20"/>
                <w:szCs w:val="20"/>
                <w:color w:val="auto"/>
              </w:rPr>
            </w:pPr>
            <w:r>
              <w:rPr>
                <w:rFonts w:ascii="Courier New" w:cs="Courier New" w:eastAsia="Courier New" w:hAnsi="Courier New"/>
                <w:sz w:val="15"/>
                <w:szCs w:val="15"/>
                <w:color w:val="auto"/>
              </w:rPr>
              <w:t>Other, net</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(541)</w:t>
            </w:r>
          </w:p>
        </w:tc>
        <w:tc>
          <w:tcPr>
            <w:tcW w:w="58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1,175</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114</w:t>
            </w:r>
          </w:p>
        </w:tc>
        <w:tc>
          <w:tcPr>
            <w:tcW w:w="840" w:type="dxa"/>
            <w:vAlign w:val="bottom"/>
          </w:tcPr>
          <w:p>
            <w:pPr>
              <w:spacing w:after="0"/>
              <w:rPr>
                <w:sz w:val="14"/>
                <w:szCs w:val="14"/>
                <w:color w:val="auto"/>
              </w:rPr>
            </w:pPr>
          </w:p>
        </w:tc>
        <w:tc>
          <w:tcPr>
            <w:tcW w:w="1560" w:type="dxa"/>
            <w:vAlign w:val="bottom"/>
          </w:tcPr>
          <w:p>
            <w:pPr>
              <w:ind w:left="60"/>
              <w:spacing w:after="0"/>
              <w:rPr>
                <w:sz w:val="20"/>
                <w:szCs w:val="20"/>
                <w:color w:val="auto"/>
              </w:rPr>
            </w:pPr>
            <w:r>
              <w:rPr>
                <w:rFonts w:ascii="Courier New" w:cs="Courier New" w:eastAsia="Courier New" w:hAnsi="Courier New"/>
                <w:sz w:val="15"/>
                <w:szCs w:val="15"/>
                <w:color w:val="auto"/>
              </w:rPr>
              <w:t>2,078</w:t>
            </w:r>
          </w:p>
        </w:tc>
      </w:tr>
      <w:tr>
        <w:trPr>
          <w:trHeight w:val="344"/>
        </w:trPr>
        <w:tc>
          <w:tcPr>
            <w:tcW w:w="344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720" w:type="dxa"/>
            <w:vAlign w:val="bottom"/>
          </w:tcPr>
          <w:p>
            <w:pPr>
              <w:spacing w:after="0"/>
              <w:rPr>
                <w:sz w:val="24"/>
                <w:szCs w:val="24"/>
                <w:color w:val="auto"/>
              </w:rPr>
            </w:pPr>
          </w:p>
        </w:tc>
        <w:tc>
          <w:tcPr>
            <w:tcW w:w="7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86,419</w:t>
            </w:r>
          </w:p>
        </w:tc>
        <w:tc>
          <w:tcPr>
            <w:tcW w:w="760" w:type="dxa"/>
            <w:vAlign w:val="bottom"/>
          </w:tcPr>
          <w:p>
            <w:pPr>
              <w:spacing w:after="0"/>
              <w:rPr>
                <w:sz w:val="24"/>
                <w:szCs w:val="24"/>
                <w:color w:val="auto"/>
              </w:rPr>
            </w:pP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35,190</w:t>
            </w:r>
          </w:p>
        </w:tc>
        <w:tc>
          <w:tcPr>
            <w:tcW w:w="880" w:type="dxa"/>
            <w:vAlign w:val="bottom"/>
          </w:tcPr>
          <w:p>
            <w:pPr>
              <w:spacing w:after="0"/>
              <w:rPr>
                <w:sz w:val="24"/>
                <w:szCs w:val="24"/>
                <w:color w:val="auto"/>
              </w:rPr>
            </w:pP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148,740</w:t>
            </w:r>
          </w:p>
        </w:tc>
        <w:tc>
          <w:tcPr>
            <w:tcW w:w="720" w:type="dxa"/>
            <w:vAlign w:val="bottom"/>
          </w:tcPr>
          <w:p>
            <w:pPr>
              <w:spacing w:after="0"/>
              <w:rPr>
                <w:sz w:val="24"/>
                <w:szCs w:val="24"/>
                <w:color w:val="auto"/>
              </w:rPr>
            </w:pP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58,869</w:t>
            </w:r>
          </w:p>
        </w:tc>
        <w:tc>
          <w:tcPr>
            <w:tcW w:w="1560" w:type="dxa"/>
            <w:vAlign w:val="bottom"/>
          </w:tcPr>
          <w:p>
            <w:pPr>
              <w:spacing w:after="0"/>
              <w:rPr>
                <w:sz w:val="24"/>
                <w:szCs w:val="24"/>
                <w:color w:val="auto"/>
              </w:rPr>
            </w:pPr>
          </w:p>
        </w:tc>
      </w:tr>
      <w:tr>
        <w:trPr>
          <w:trHeight w:val="344"/>
        </w:trPr>
        <w:tc>
          <w:tcPr>
            <w:tcW w:w="344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0"/>
                <w:szCs w:val="20"/>
                <w:color w:val="auto"/>
              </w:rPr>
            </w:pPr>
            <w:r>
              <w:rPr>
                <w:rFonts w:ascii="Courier New" w:cs="Courier New" w:eastAsia="Courier New" w:hAnsi="Courier New"/>
                <w:sz w:val="15"/>
                <w:szCs w:val="15"/>
                <w:color w:val="auto"/>
              </w:rPr>
              <w:t>3,472</w:t>
            </w:r>
          </w:p>
        </w:tc>
        <w:tc>
          <w:tcPr>
            <w:tcW w:w="580" w:type="dxa"/>
            <w:vAlign w:val="bottom"/>
          </w:tcPr>
          <w:p>
            <w:pPr>
              <w:spacing w:after="0"/>
              <w:rPr>
                <w:sz w:val="24"/>
                <w:szCs w:val="24"/>
                <w:color w:val="auto"/>
              </w:rPr>
            </w:pPr>
          </w:p>
        </w:tc>
        <w:tc>
          <w:tcPr>
            <w:tcW w:w="156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3,347</w:t>
            </w: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3"/>
              </w:rPr>
              <w:t>7,120</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6,945</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72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2,261</w:t>
            </w:r>
          </w:p>
        </w:tc>
        <w:tc>
          <w:tcPr>
            <w:tcW w:w="760" w:type="dxa"/>
            <w:vAlign w:val="bottom"/>
          </w:tcPr>
          <w:p>
            <w:pPr>
              <w:spacing w:after="0"/>
              <w:rPr>
                <w:sz w:val="14"/>
                <w:szCs w:val="14"/>
                <w:color w:val="auto"/>
              </w:rPr>
            </w:pPr>
          </w:p>
        </w:tc>
        <w:tc>
          <w:tcPr>
            <w:tcW w:w="146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1,483</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3"/>
              </w:rPr>
              <w:t>4,268</w:t>
            </w:r>
          </w:p>
        </w:tc>
        <w:tc>
          <w:tcPr>
            <w:tcW w:w="840" w:type="dxa"/>
            <w:vAlign w:val="bottom"/>
          </w:tcPr>
          <w:p>
            <w:pPr>
              <w:spacing w:after="0"/>
              <w:rPr>
                <w:sz w:val="14"/>
                <w:szCs w:val="14"/>
                <w:color w:val="auto"/>
              </w:rPr>
            </w:pPr>
          </w:p>
        </w:tc>
        <w:tc>
          <w:tcPr>
            <w:tcW w:w="1560" w:type="dxa"/>
            <w:vAlign w:val="bottom"/>
          </w:tcPr>
          <w:p>
            <w:pPr>
              <w:ind w:left="60"/>
              <w:spacing w:after="0"/>
              <w:rPr>
                <w:sz w:val="20"/>
                <w:szCs w:val="20"/>
                <w:color w:val="auto"/>
              </w:rPr>
            </w:pPr>
            <w:r>
              <w:rPr>
                <w:rFonts w:ascii="Courier New" w:cs="Courier New" w:eastAsia="Courier New" w:hAnsi="Courier New"/>
                <w:sz w:val="15"/>
                <w:szCs w:val="15"/>
                <w:color w:val="auto"/>
              </w:rPr>
              <w:t>3,321</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Income from consolidated companies</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2"/>
        </w:trPr>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before taxes and cumulative effect</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2"/>
        </w:trPr>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of accounting change</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85,208</w:t>
            </w:r>
          </w:p>
        </w:tc>
        <w:tc>
          <w:tcPr>
            <w:tcW w:w="760" w:type="dxa"/>
            <w:vAlign w:val="bottom"/>
          </w:tcPr>
          <w:p>
            <w:pPr>
              <w:spacing w:after="0"/>
              <w:rPr>
                <w:sz w:val="14"/>
                <w:szCs w:val="14"/>
                <w:color w:val="auto"/>
              </w:rPr>
            </w:pPr>
          </w:p>
        </w:tc>
        <w:tc>
          <w:tcPr>
            <w:tcW w:w="1460" w:type="dxa"/>
            <w:vAlign w:val="bottom"/>
            <w:gridSpan w:val="2"/>
          </w:tcPr>
          <w:p>
            <w:pPr>
              <w:jc w:val="right"/>
              <w:ind w:right="545"/>
              <w:spacing w:after="0"/>
              <w:rPr>
                <w:sz w:val="20"/>
                <w:szCs w:val="20"/>
                <w:color w:val="auto"/>
              </w:rPr>
            </w:pPr>
            <w:r>
              <w:rPr>
                <w:rFonts w:ascii="Courier New" w:cs="Courier New" w:eastAsia="Courier New" w:hAnsi="Courier New"/>
                <w:sz w:val="15"/>
                <w:szCs w:val="15"/>
                <w:color w:val="auto"/>
              </w:rPr>
              <w:t>33,326</w:t>
            </w:r>
          </w:p>
        </w:tc>
        <w:tc>
          <w:tcPr>
            <w:tcW w:w="680" w:type="dxa"/>
            <w:vAlign w:val="bottom"/>
          </w:tcPr>
          <w:p>
            <w:pPr>
              <w:spacing w:after="0"/>
              <w:rPr>
                <w:sz w:val="14"/>
                <w:szCs w:val="14"/>
                <w:color w:val="auto"/>
              </w:rPr>
            </w:pPr>
          </w:p>
        </w:tc>
        <w:tc>
          <w:tcPr>
            <w:tcW w:w="13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145,888</w:t>
            </w:r>
          </w:p>
        </w:tc>
        <w:tc>
          <w:tcPr>
            <w:tcW w:w="840" w:type="dxa"/>
            <w:vAlign w:val="bottom"/>
          </w:tcPr>
          <w:p>
            <w:pPr>
              <w:spacing w:after="0"/>
              <w:rPr>
                <w:sz w:val="14"/>
                <w:szCs w:val="14"/>
                <w:color w:val="auto"/>
              </w:rPr>
            </w:pPr>
          </w:p>
        </w:tc>
        <w:tc>
          <w:tcPr>
            <w:tcW w:w="1560" w:type="dxa"/>
            <w:vAlign w:val="bottom"/>
          </w:tcPr>
          <w:p>
            <w:pPr>
              <w:ind w:left="60"/>
              <w:spacing w:after="0"/>
              <w:rPr>
                <w:sz w:val="20"/>
                <w:szCs w:val="20"/>
                <w:color w:val="auto"/>
              </w:rPr>
            </w:pPr>
            <w:r>
              <w:rPr>
                <w:rFonts w:ascii="Courier New" w:cs="Courier New" w:eastAsia="Courier New" w:hAnsi="Courier New"/>
                <w:sz w:val="15"/>
                <w:szCs w:val="15"/>
                <w:color w:val="auto"/>
              </w:rPr>
              <w:t>55,245</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72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29,823</w:t>
            </w:r>
          </w:p>
        </w:tc>
        <w:tc>
          <w:tcPr>
            <w:tcW w:w="760" w:type="dxa"/>
            <w:vAlign w:val="bottom"/>
          </w:tcPr>
          <w:p>
            <w:pPr>
              <w:spacing w:after="0"/>
              <w:rPr>
                <w:sz w:val="14"/>
                <w:szCs w:val="14"/>
                <w:color w:val="auto"/>
              </w:rPr>
            </w:pP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10,998</w:t>
            </w:r>
          </w:p>
        </w:tc>
        <w:tc>
          <w:tcPr>
            <w:tcW w:w="880" w:type="dxa"/>
            <w:vAlign w:val="bottom"/>
          </w:tcPr>
          <w:p>
            <w:pPr>
              <w:spacing w:after="0"/>
              <w:rPr>
                <w:sz w:val="14"/>
                <w:szCs w:val="14"/>
                <w:color w:val="auto"/>
              </w:rPr>
            </w:pPr>
          </w:p>
        </w:tc>
        <w:tc>
          <w:tcPr>
            <w:tcW w:w="1260" w:type="dxa"/>
            <w:vAlign w:val="bottom"/>
            <w:gridSpan w:val="2"/>
          </w:tcPr>
          <w:p>
            <w:pPr>
              <w:jc w:val="right"/>
              <w:ind w:right="185"/>
              <w:spacing w:after="0"/>
              <w:rPr>
                <w:sz w:val="20"/>
                <w:szCs w:val="20"/>
                <w:color w:val="auto"/>
              </w:rPr>
            </w:pPr>
            <w:r>
              <w:rPr>
                <w:rFonts w:ascii="Courier New" w:cs="Courier New" w:eastAsia="Courier New" w:hAnsi="Courier New"/>
                <w:sz w:val="15"/>
                <w:szCs w:val="15"/>
                <w:color w:val="auto"/>
              </w:rPr>
              <w:t>51,061</w:t>
            </w:r>
          </w:p>
        </w:tc>
        <w:tc>
          <w:tcPr>
            <w:tcW w:w="720" w:type="dxa"/>
            <w:vAlign w:val="bottom"/>
          </w:tcPr>
          <w:p>
            <w:pPr>
              <w:spacing w:after="0"/>
              <w:rPr>
                <w:sz w:val="14"/>
                <w:szCs w:val="14"/>
                <w:color w:val="auto"/>
              </w:rPr>
            </w:pP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18,231</w:t>
            </w:r>
          </w:p>
        </w:tc>
        <w:tc>
          <w:tcPr>
            <w:tcW w:w="1560" w:type="dxa"/>
            <w:vAlign w:val="bottom"/>
          </w:tcPr>
          <w:p>
            <w:pPr>
              <w:spacing w:after="0"/>
              <w:rPr>
                <w:sz w:val="14"/>
                <w:szCs w:val="14"/>
                <w:color w:val="auto"/>
              </w:rPr>
            </w:pPr>
          </w:p>
        </w:tc>
      </w:tr>
      <w:tr>
        <w:trPr>
          <w:trHeight w:val="344"/>
        </w:trPr>
        <w:tc>
          <w:tcPr>
            <w:tcW w:w="3440" w:type="dxa"/>
            <w:vAlign w:val="bottom"/>
          </w:tcPr>
          <w:p>
            <w:pPr>
              <w:spacing w:after="0"/>
              <w:rPr>
                <w:sz w:val="20"/>
                <w:szCs w:val="20"/>
                <w:color w:val="auto"/>
              </w:rPr>
            </w:pPr>
            <w:r>
              <w:rPr>
                <w:rFonts w:ascii="Courier New" w:cs="Courier New" w:eastAsia="Courier New" w:hAnsi="Courier New"/>
                <w:sz w:val="15"/>
                <w:szCs w:val="15"/>
                <w:color w:val="auto"/>
              </w:rPr>
              <w:t>Income from consolidated companies</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2"/>
        </w:trPr>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before cumulative effect of</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2"/>
        </w:trPr>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accounting change</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55,385</w:t>
            </w:r>
          </w:p>
        </w:tc>
        <w:tc>
          <w:tcPr>
            <w:tcW w:w="580" w:type="dxa"/>
            <w:vAlign w:val="bottom"/>
          </w:tcPr>
          <w:p>
            <w:pPr>
              <w:spacing w:after="0"/>
              <w:rPr>
                <w:sz w:val="14"/>
                <w:szCs w:val="14"/>
                <w:color w:val="auto"/>
              </w:rPr>
            </w:pPr>
          </w:p>
        </w:tc>
        <w:tc>
          <w:tcPr>
            <w:tcW w:w="156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22,328</w:t>
            </w:r>
          </w:p>
        </w:tc>
        <w:tc>
          <w:tcPr>
            <w:tcW w:w="58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w w:val="96"/>
              </w:rPr>
              <w:t>94,827</w:t>
            </w:r>
          </w:p>
        </w:tc>
        <w:tc>
          <w:tcPr>
            <w:tcW w:w="840" w:type="dxa"/>
            <w:vAlign w:val="bottom"/>
          </w:tcPr>
          <w:p>
            <w:pPr>
              <w:spacing w:after="0"/>
              <w:rPr>
                <w:sz w:val="14"/>
                <w:szCs w:val="14"/>
                <w:color w:val="auto"/>
              </w:rPr>
            </w:pPr>
          </w:p>
        </w:tc>
        <w:tc>
          <w:tcPr>
            <w:tcW w:w="156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37,014</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Equity in net loss of joint venture</w:t>
            </w:r>
          </w:p>
        </w:tc>
        <w:tc>
          <w:tcPr>
            <w:tcW w:w="720" w:type="dxa"/>
            <w:vAlign w:val="bottom"/>
          </w:tcPr>
          <w:p>
            <w:pPr>
              <w:spacing w:after="0"/>
              <w:rPr>
                <w:sz w:val="14"/>
                <w:szCs w:val="14"/>
                <w:color w:val="auto"/>
              </w:rPr>
            </w:pPr>
          </w:p>
        </w:tc>
        <w:tc>
          <w:tcPr>
            <w:tcW w:w="7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314</w:t>
            </w: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4"/>
                <w:szCs w:val="14"/>
                <w:color w:val="auto"/>
              </w:rPr>
            </w:pP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2,365</w:t>
            </w: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tcPr>
          <w:p>
            <w:pPr>
              <w:ind w:left="60"/>
              <w:spacing w:after="0"/>
              <w:rPr>
                <w:sz w:val="20"/>
                <w:szCs w:val="20"/>
                <w:color w:val="auto"/>
              </w:rPr>
            </w:pPr>
            <w:r>
              <w:rPr>
                <w:rFonts w:ascii="Courier New" w:cs="Courier New" w:eastAsia="Courier New" w:hAnsi="Courier New"/>
                <w:sz w:val="15"/>
                <w:szCs w:val="15"/>
                <w:color w:val="auto"/>
              </w:rPr>
              <w:t>-</w:t>
            </w:r>
          </w:p>
        </w:tc>
      </w:tr>
      <w:tr>
        <w:trPr>
          <w:trHeight w:val="344"/>
        </w:trPr>
        <w:tc>
          <w:tcPr>
            <w:tcW w:w="3440" w:type="dxa"/>
            <w:vAlign w:val="bottom"/>
          </w:tcPr>
          <w:p>
            <w:pPr>
              <w:spacing w:after="0"/>
              <w:rPr>
                <w:sz w:val="20"/>
                <w:szCs w:val="20"/>
                <w:color w:val="auto"/>
              </w:rPr>
            </w:pPr>
            <w:r>
              <w:rPr>
                <w:rFonts w:ascii="Courier New" w:cs="Courier New" w:eastAsia="Courier New" w:hAnsi="Courier New"/>
                <w:sz w:val="15"/>
                <w:szCs w:val="15"/>
                <w:color w:val="auto"/>
              </w:rPr>
              <w:t>Income before cumulative effect of</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2"/>
        </w:trPr>
        <w:tc>
          <w:tcPr>
            <w:tcW w:w="3440" w:type="dxa"/>
            <w:vAlign w:val="bottom"/>
          </w:tcPr>
          <w:p>
            <w:pPr>
              <w:ind w:left="700"/>
              <w:spacing w:after="0"/>
              <w:rPr>
                <w:sz w:val="20"/>
                <w:szCs w:val="20"/>
                <w:color w:val="auto"/>
              </w:rPr>
            </w:pPr>
            <w:r>
              <w:rPr>
                <w:rFonts w:ascii="Courier New" w:cs="Courier New" w:eastAsia="Courier New" w:hAnsi="Courier New"/>
                <w:sz w:val="15"/>
                <w:szCs w:val="15"/>
                <w:color w:val="auto"/>
              </w:rPr>
              <w:t>accounting change</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55,071</w:t>
            </w:r>
          </w:p>
        </w:tc>
        <w:tc>
          <w:tcPr>
            <w:tcW w:w="580" w:type="dxa"/>
            <w:vAlign w:val="bottom"/>
          </w:tcPr>
          <w:p>
            <w:pPr>
              <w:spacing w:after="0"/>
              <w:rPr>
                <w:sz w:val="14"/>
                <w:szCs w:val="14"/>
                <w:color w:val="auto"/>
              </w:rPr>
            </w:pPr>
          </w:p>
        </w:tc>
        <w:tc>
          <w:tcPr>
            <w:tcW w:w="1560" w:type="dxa"/>
            <w:vAlign w:val="bottom"/>
            <w:gridSpan w:val="2"/>
          </w:tcPr>
          <w:p>
            <w:pPr>
              <w:jc w:val="right"/>
              <w:ind w:right="505"/>
              <w:spacing w:after="0"/>
              <w:rPr>
                <w:sz w:val="20"/>
                <w:szCs w:val="20"/>
                <w:color w:val="auto"/>
              </w:rPr>
            </w:pPr>
            <w:r>
              <w:rPr>
                <w:rFonts w:ascii="Courier New" w:cs="Courier New" w:eastAsia="Courier New" w:hAnsi="Courier New"/>
                <w:sz w:val="15"/>
                <w:szCs w:val="15"/>
                <w:color w:val="auto"/>
              </w:rPr>
              <w:t>22,328</w:t>
            </w:r>
          </w:p>
        </w:tc>
        <w:tc>
          <w:tcPr>
            <w:tcW w:w="580" w:type="dxa"/>
            <w:vAlign w:val="bottom"/>
          </w:tcPr>
          <w:p>
            <w:pPr>
              <w:spacing w:after="0"/>
              <w:rPr>
                <w:sz w:val="14"/>
                <w:szCs w:val="14"/>
                <w:color w:val="auto"/>
              </w:rPr>
            </w:pPr>
          </w:p>
        </w:tc>
        <w:tc>
          <w:tcPr>
            <w:tcW w:w="156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92,462</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37,014</w:t>
            </w: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2"/>
        </w:trPr>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accounting for income taxes</w:t>
            </w:r>
          </w:p>
        </w:tc>
        <w:tc>
          <w:tcPr>
            <w:tcW w:w="720" w:type="dxa"/>
            <w:vAlign w:val="bottom"/>
          </w:tcPr>
          <w:p>
            <w:pPr>
              <w:spacing w:after="0"/>
              <w:rPr>
                <w:sz w:val="14"/>
                <w:szCs w:val="1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3"/>
              </w:rPr>
              <w:t>7,000</w:t>
            </w:r>
          </w:p>
        </w:tc>
        <w:tc>
          <w:tcPr>
            <w:tcW w:w="840" w:type="dxa"/>
            <w:vAlign w:val="bottom"/>
          </w:tcPr>
          <w:p>
            <w:pPr>
              <w:spacing w:after="0"/>
              <w:rPr>
                <w:sz w:val="14"/>
                <w:szCs w:val="14"/>
                <w:color w:val="auto"/>
              </w:rPr>
            </w:pPr>
          </w:p>
        </w:tc>
        <w:tc>
          <w:tcPr>
            <w:tcW w:w="156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w:t>
            </w:r>
          </w:p>
        </w:tc>
      </w:tr>
      <w:tr>
        <w:trPr>
          <w:trHeight w:val="344"/>
        </w:trPr>
        <w:tc>
          <w:tcPr>
            <w:tcW w:w="34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7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55,071</w:t>
            </w:r>
          </w:p>
        </w:tc>
        <w:tc>
          <w:tcPr>
            <w:tcW w:w="7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w w:val="96"/>
              </w:rPr>
              <w:t>22,328</w:t>
            </w:r>
          </w:p>
        </w:tc>
        <w:tc>
          <w:tcPr>
            <w:tcW w:w="8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99,462</w:t>
            </w:r>
          </w:p>
        </w:tc>
        <w:tc>
          <w:tcPr>
            <w:tcW w:w="5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w w:val="96"/>
              </w:rPr>
              <w:t>37,014</w:t>
            </w:r>
          </w:p>
        </w:tc>
        <w:tc>
          <w:tcPr>
            <w:tcW w:w="84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72"/>
        </w:trPr>
        <w:tc>
          <w:tcPr>
            <w:tcW w:w="344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2"/>
        </w:trPr>
        <w:tc>
          <w:tcPr>
            <w:tcW w:w="3440" w:type="dxa"/>
            <w:vAlign w:val="bottom"/>
          </w:tcPr>
          <w:p>
            <w:pPr>
              <w:ind w:left="700"/>
              <w:spacing w:after="0"/>
              <w:rPr>
                <w:sz w:val="20"/>
                <w:szCs w:val="20"/>
                <w:color w:val="auto"/>
              </w:rPr>
            </w:pPr>
            <w:r>
              <w:rPr>
                <w:rFonts w:ascii="Courier New" w:cs="Courier New" w:eastAsia="Courier New" w:hAnsi="Courier New"/>
                <w:sz w:val="15"/>
                <w:szCs w:val="15"/>
                <w:color w:val="auto"/>
              </w:rPr>
              <w:t>Before cumulative effect of</w:t>
            </w: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2"/>
        </w:trPr>
        <w:tc>
          <w:tcPr>
            <w:tcW w:w="3440" w:type="dxa"/>
            <w:vAlign w:val="bottom"/>
          </w:tcPr>
          <w:p>
            <w:pPr>
              <w:ind w:left="80"/>
              <w:spacing w:after="0"/>
              <w:rPr>
                <w:sz w:val="20"/>
                <w:szCs w:val="20"/>
                <w:color w:val="auto"/>
              </w:rPr>
            </w:pPr>
            <w:r>
              <w:rPr>
                <w:rFonts w:ascii="Courier New" w:cs="Courier New" w:eastAsia="Courier New" w:hAnsi="Courier New"/>
                <w:sz w:val="15"/>
                <w:szCs w:val="15"/>
                <w:color w:val="auto"/>
              </w:rPr>
              <w:t>accounting change</w:t>
            </w:r>
          </w:p>
        </w:tc>
        <w:tc>
          <w:tcPr>
            <w:tcW w:w="72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w:t>
            </w:r>
          </w:p>
        </w:tc>
        <w:tc>
          <w:tcPr>
            <w:tcW w:w="7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0.65</w:t>
            </w:r>
          </w:p>
        </w:tc>
        <w:tc>
          <w:tcPr>
            <w:tcW w:w="76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0.27</w:t>
            </w:r>
          </w:p>
        </w:tc>
        <w:tc>
          <w:tcPr>
            <w:tcW w:w="88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20"/>
                <w:szCs w:val="20"/>
                <w:color w:val="auto"/>
              </w:rPr>
            </w:pPr>
            <w:r>
              <w:rPr>
                <w:rFonts w:ascii="Courier New" w:cs="Courier New" w:eastAsia="Courier New" w:hAnsi="Courier New"/>
                <w:sz w:val="15"/>
                <w:szCs w:val="15"/>
                <w:color w:val="auto"/>
              </w:rPr>
              <w:t>1.10</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180"/>
              <w:spacing w:after="0"/>
              <w:rPr>
                <w:sz w:val="20"/>
                <w:szCs w:val="20"/>
                <w:color w:val="auto"/>
              </w:rPr>
            </w:pPr>
            <w:r>
              <w:rPr>
                <w:rFonts w:ascii="Courier New" w:cs="Courier New" w:eastAsia="Courier New" w:hAnsi="Courier New"/>
                <w:sz w:val="15"/>
                <w:szCs w:val="15"/>
                <w:color w:val="auto"/>
              </w:rPr>
              <w:t>0.45</w:t>
            </w:r>
          </w:p>
        </w:tc>
        <w:tc>
          <w:tcPr>
            <w:tcW w:w="8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2"/>
        </w:trPr>
        <w:tc>
          <w:tcPr>
            <w:tcW w:w="3440" w:type="dxa"/>
            <w:vAlign w:val="bottom"/>
          </w:tcPr>
          <w:p>
            <w:pPr>
              <w:ind w:left="700"/>
              <w:spacing w:after="0"/>
              <w:rPr>
                <w:sz w:val="20"/>
                <w:szCs w:val="20"/>
                <w:color w:val="auto"/>
              </w:rPr>
            </w:pPr>
            <w:r>
              <w:rPr>
                <w:rFonts w:ascii="Courier New" w:cs="Courier New" w:eastAsia="Courier New" w:hAnsi="Courier New"/>
                <w:sz w:val="15"/>
                <w:szCs w:val="15"/>
                <w:color w:val="auto"/>
              </w:rPr>
              <w:t>Net income</w:t>
            </w:r>
          </w:p>
        </w:tc>
        <w:tc>
          <w:tcPr>
            <w:tcW w:w="720" w:type="dxa"/>
            <w:vAlign w:val="bottom"/>
          </w:tcPr>
          <w:p>
            <w:pPr>
              <w:spacing w:after="0"/>
              <w:rPr>
                <w:sz w:val="14"/>
                <w:szCs w:val="14"/>
                <w:color w:val="auto"/>
              </w:rPr>
            </w:pP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54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0.65</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0.27</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ind w:left="40"/>
              <w:spacing w:after="0"/>
              <w:rPr>
                <w:sz w:val="20"/>
                <w:szCs w:val="20"/>
                <w:color w:val="auto"/>
              </w:rPr>
            </w:pPr>
            <w:r>
              <w:rPr>
                <w:rFonts w:ascii="Courier New" w:cs="Courier New" w:eastAsia="Courier New" w:hAnsi="Courier New"/>
                <w:sz w:val="15"/>
                <w:szCs w:val="15"/>
                <w:color w:val="auto"/>
              </w:rPr>
              <w:t>1.18</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0.45</w:t>
            </w:r>
          </w:p>
        </w:tc>
        <w:tc>
          <w:tcPr>
            <w:tcW w:w="1560" w:type="dxa"/>
            <w:vAlign w:val="bottom"/>
          </w:tcPr>
          <w:p>
            <w:pPr>
              <w:spacing w:after="0"/>
              <w:rPr>
                <w:sz w:val="14"/>
                <w:szCs w:val="14"/>
                <w:color w:val="auto"/>
              </w:rPr>
            </w:pPr>
          </w:p>
        </w:tc>
      </w:tr>
    </w:tbl>
    <w:p>
      <w:pPr>
        <w:sectPr>
          <w:pgSz w:w="11900" w:h="16838" w:orient="portrait"/>
          <w:cols w:equalWidth="0" w:num="1">
            <w:col w:w="11528"/>
          </w:cols>
          <w:pgMar w:left="232" w:top="575" w:right="139" w:bottom="0" w:gutter="0" w:footer="0" w:header="0"/>
          <w:type w:val="continuous"/>
        </w:sectPr>
      </w:pPr>
    </w:p>
    <w:bookmarkStart w:id="1" w:name="page2"/>
    <w:bookmarkEnd w:id="1"/>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60" w:type="dxa"/>
            <w:vAlign w:val="bottom"/>
          </w:tcPr>
          <w:p>
            <w:pPr>
              <w:spacing w:after="0"/>
              <w:rPr>
                <w:sz w:val="20"/>
                <w:szCs w:val="20"/>
                <w:color w:val="auto"/>
              </w:rPr>
            </w:pPr>
            <w:r>
              <w:rPr>
                <w:rFonts w:ascii="Courier New" w:cs="Courier New" w:eastAsia="Courier New" w:hAnsi="Courier New"/>
                <w:sz w:val="15"/>
                <w:szCs w:val="15"/>
                <w:color w:val="auto"/>
              </w:rPr>
              <w:t>Average common shares and</w:t>
            </w:r>
          </w:p>
        </w:tc>
        <w:tc>
          <w:tcPr>
            <w:tcW w:w="23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660" w:type="dxa"/>
            <w:vAlign w:val="bottom"/>
          </w:tcPr>
          <w:p>
            <w:pPr>
              <w:ind w:left="700"/>
              <w:spacing w:after="0"/>
              <w:rPr>
                <w:sz w:val="20"/>
                <w:szCs w:val="20"/>
                <w:color w:val="auto"/>
              </w:rPr>
            </w:pPr>
            <w:r>
              <w:rPr>
                <w:rFonts w:ascii="Courier New" w:cs="Courier New" w:eastAsia="Courier New" w:hAnsi="Courier New"/>
                <w:sz w:val="15"/>
                <w:szCs w:val="15"/>
                <w:color w:val="auto"/>
              </w:rPr>
              <w:t>equivalents*</w:t>
            </w:r>
          </w:p>
        </w:tc>
        <w:tc>
          <w:tcPr>
            <w:tcW w:w="2380" w:type="dxa"/>
            <w:vAlign w:val="bottom"/>
          </w:tcPr>
          <w:p>
            <w:pPr>
              <w:jc w:val="right"/>
              <w:ind w:right="345"/>
              <w:spacing w:after="0"/>
              <w:rPr>
                <w:sz w:val="20"/>
                <w:szCs w:val="20"/>
                <w:color w:val="auto"/>
              </w:rPr>
            </w:pPr>
            <w:r>
              <w:rPr>
                <w:rFonts w:ascii="Courier New" w:cs="Courier New" w:eastAsia="Courier New" w:hAnsi="Courier New"/>
                <w:sz w:val="15"/>
                <w:szCs w:val="15"/>
                <w:color w:val="auto"/>
              </w:rPr>
              <w:t>84,761</w:t>
            </w:r>
          </w:p>
        </w:tc>
        <w:tc>
          <w:tcPr>
            <w:tcW w:w="160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82,034</w:t>
            </w:r>
          </w:p>
        </w:tc>
        <w:tc>
          <w:tcPr>
            <w:tcW w:w="178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83,979</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81,814</w:t>
            </w:r>
          </w:p>
        </w:tc>
      </w:tr>
    </w:tbl>
    <w:p>
      <w:pPr>
        <w:spacing w:after="0" w:line="176" w:lineRule="exact"/>
        <w:rPr>
          <w:sz w:val="20"/>
          <w:szCs w:val="20"/>
          <w:color w:val="auto"/>
        </w:rPr>
      </w:pPr>
    </w:p>
    <w:p>
      <w:pPr>
        <w:ind w:left="1520" w:right="3400" w:hanging="813"/>
        <w:spacing w:after="0"/>
        <w:tabs>
          <w:tab w:leader="none" w:pos="143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Retroactively restated for a two-for-one stock split in the form of a 100% stock dividend effective October 5, 1993.</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APPLIED MATERIALS, INC.</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40" w:type="dxa"/>
            <w:vAlign w:val="bottom"/>
            <w:gridSpan w:val="4"/>
          </w:tcPr>
          <w:p>
            <w:pPr>
              <w:ind w:left="2140"/>
              <w:spacing w:after="0"/>
              <w:rPr>
                <w:sz w:val="20"/>
                <w:szCs w:val="20"/>
                <w:color w:val="auto"/>
              </w:rPr>
            </w:pPr>
            <w:r>
              <w:rPr>
                <w:rFonts w:ascii="Courier New" w:cs="Courier New" w:eastAsia="Courier New" w:hAnsi="Courier New"/>
                <w:sz w:val="15"/>
                <w:szCs w:val="15"/>
                <w:color w:val="auto"/>
              </w:rPr>
              <w:t>CONSOLIDATED CONDENSED BALANCE SHEETS</w:t>
            </w: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688"/>
        </w:trPr>
        <w:tc>
          <w:tcPr>
            <w:tcW w:w="4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May 1,</w:t>
            </w:r>
          </w:p>
        </w:tc>
        <w:tc>
          <w:tcPr>
            <w:tcW w:w="2200" w:type="dxa"/>
            <w:vAlign w:val="bottom"/>
            <w:gridSpan w:val="2"/>
          </w:tcPr>
          <w:p>
            <w:pPr>
              <w:ind w:left="860"/>
              <w:spacing w:after="0"/>
              <w:rPr>
                <w:sz w:val="20"/>
                <w:szCs w:val="20"/>
                <w:color w:val="auto"/>
              </w:rPr>
            </w:pPr>
            <w:r>
              <w:rPr>
                <w:rFonts w:ascii="Courier New" w:cs="Courier New" w:eastAsia="Courier New" w:hAnsi="Courier New"/>
                <w:sz w:val="15"/>
                <w:szCs w:val="15"/>
                <w:color w:val="auto"/>
              </w:rPr>
              <w:t>Oct. 31,</w:t>
            </w:r>
          </w:p>
        </w:tc>
      </w:tr>
      <w:tr>
        <w:trPr>
          <w:trHeight w:val="172"/>
        </w:trPr>
        <w:tc>
          <w:tcPr>
            <w:tcW w:w="416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rPr>
              <w:t>1994</w:t>
            </w:r>
          </w:p>
        </w:tc>
        <w:tc>
          <w:tcPr>
            <w:tcW w:w="1020" w:type="dxa"/>
            <w:vAlign w:val="bottom"/>
          </w:tcPr>
          <w:p>
            <w:pPr>
              <w:spacing w:after="0"/>
              <w:rPr>
                <w:sz w:val="14"/>
                <w:szCs w:val="14"/>
                <w:color w:val="auto"/>
              </w:rPr>
            </w:pP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1993</w:t>
            </w:r>
          </w:p>
        </w:tc>
        <w:tc>
          <w:tcPr>
            <w:tcW w:w="940" w:type="dxa"/>
            <w:vAlign w:val="bottom"/>
          </w:tcPr>
          <w:p>
            <w:pPr>
              <w:spacing w:after="0"/>
              <w:rPr>
                <w:sz w:val="14"/>
                <w:szCs w:val="14"/>
                <w:color w:val="auto"/>
              </w:rPr>
            </w:pPr>
          </w:p>
        </w:tc>
      </w:tr>
      <w:tr>
        <w:trPr>
          <w:trHeight w:val="344"/>
        </w:trPr>
        <w:tc>
          <w:tcPr>
            <w:tcW w:w="4160" w:type="dxa"/>
            <w:vAlign w:val="bottom"/>
          </w:tcPr>
          <w:p>
            <w:pPr>
              <w:ind w:left="700"/>
              <w:spacing w:after="0"/>
              <w:rPr>
                <w:sz w:val="20"/>
                <w:szCs w:val="20"/>
                <w:color w:val="auto"/>
              </w:rPr>
            </w:pPr>
            <w:r>
              <w:rPr>
                <w:rFonts w:ascii="Courier New" w:cs="Courier New" w:eastAsia="Courier New" w:hAnsi="Courier New"/>
                <w:sz w:val="15"/>
                <w:szCs w:val="15"/>
                <w:color w:val="auto"/>
              </w:rPr>
              <w:t>ASSETS</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2"/>
        </w:trPr>
        <w:tc>
          <w:tcPr>
            <w:tcW w:w="4160" w:type="dxa"/>
            <w:vAlign w:val="bottom"/>
          </w:tcPr>
          <w:p>
            <w:pPr>
              <w:ind w:left="80"/>
              <w:spacing w:after="0"/>
              <w:rPr>
                <w:sz w:val="20"/>
                <w:szCs w:val="20"/>
                <w:color w:val="auto"/>
              </w:rPr>
            </w:pPr>
            <w:r>
              <w:rPr>
                <w:rFonts w:ascii="Courier New" w:cs="Courier New" w:eastAsia="Courier New" w:hAnsi="Courier New"/>
                <w:sz w:val="15"/>
                <w:szCs w:val="15"/>
                <w:color w:val="auto"/>
              </w:rPr>
              <w:t>Current assets: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4160" w:type="dxa"/>
            <w:vAlign w:val="bottom"/>
          </w:tcPr>
          <w:p>
            <w:pPr>
              <w:ind w:left="880"/>
              <w:spacing w:after="0"/>
              <w:rPr>
                <w:sz w:val="20"/>
                <w:szCs w:val="20"/>
                <w:color w:val="auto"/>
              </w:rPr>
            </w:pPr>
            <w:r>
              <w:rPr>
                <w:rFonts w:ascii="Courier New" w:cs="Courier New" w:eastAsia="Courier New" w:hAnsi="Courier New"/>
                <w:sz w:val="15"/>
                <w:szCs w:val="15"/>
                <w:color w:val="auto"/>
              </w:rPr>
              <w:t>Cash and cash equivalents</w:t>
            </w:r>
          </w:p>
        </w:tc>
        <w:tc>
          <w:tcPr>
            <w:tcW w:w="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w w:val="96"/>
              </w:rPr>
              <w:t>96,606</w:t>
            </w:r>
          </w:p>
        </w:tc>
        <w:tc>
          <w:tcPr>
            <w:tcW w:w="102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ind w:left="580"/>
              <w:spacing w:after="0"/>
              <w:rPr>
                <w:sz w:val="20"/>
                <w:szCs w:val="20"/>
                <w:color w:val="auto"/>
              </w:rPr>
            </w:pPr>
            <w:r>
              <w:rPr>
                <w:rFonts w:ascii="Courier New" w:cs="Courier New" w:eastAsia="Courier New" w:hAnsi="Courier New"/>
                <w:sz w:val="15"/>
                <w:szCs w:val="15"/>
                <w:color w:val="auto"/>
              </w:rPr>
              <w:t>119,597</w:t>
            </w:r>
          </w:p>
        </w:tc>
        <w:tc>
          <w:tcPr>
            <w:tcW w:w="940" w:type="dxa"/>
            <w:vAlign w:val="bottom"/>
          </w:tcPr>
          <w:p>
            <w:pPr>
              <w:spacing w:after="0"/>
              <w:rPr>
                <w:sz w:val="14"/>
                <w:szCs w:val="14"/>
                <w:color w:val="auto"/>
              </w:rPr>
            </w:pPr>
          </w:p>
        </w:tc>
      </w:tr>
      <w:tr>
        <w:trPr>
          <w:trHeight w:val="172"/>
        </w:trPr>
        <w:tc>
          <w:tcPr>
            <w:tcW w:w="4160" w:type="dxa"/>
            <w:vAlign w:val="bottom"/>
          </w:tcPr>
          <w:p>
            <w:pPr>
              <w:ind w:left="700"/>
              <w:spacing w:after="0"/>
              <w:rPr>
                <w:sz w:val="20"/>
                <w:szCs w:val="20"/>
                <w:color w:val="auto"/>
              </w:rPr>
            </w:pPr>
            <w:r>
              <w:rPr>
                <w:rFonts w:ascii="Courier New" w:cs="Courier New" w:eastAsia="Courier New" w:hAnsi="Courier New"/>
                <w:sz w:val="15"/>
                <w:szCs w:val="15"/>
                <w:color w:val="auto"/>
              </w:rPr>
              <w:t>Short-term investments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232,517</w:t>
            </w:r>
          </w:p>
        </w:tc>
        <w:tc>
          <w:tcPr>
            <w:tcW w:w="1260" w:type="dxa"/>
            <w:vAlign w:val="bottom"/>
          </w:tcPr>
          <w:p>
            <w:pPr>
              <w:ind w:left="580"/>
              <w:spacing w:after="0"/>
              <w:rPr>
                <w:sz w:val="20"/>
                <w:szCs w:val="20"/>
                <w:color w:val="auto"/>
              </w:rPr>
            </w:pPr>
            <w:r>
              <w:rPr>
                <w:rFonts w:ascii="Courier New" w:cs="Courier New" w:eastAsia="Courier New" w:hAnsi="Courier New"/>
                <w:sz w:val="15"/>
                <w:szCs w:val="15"/>
                <w:color w:val="auto"/>
              </w:rPr>
              <w:t>146,583</w:t>
            </w:r>
          </w:p>
        </w:tc>
        <w:tc>
          <w:tcPr>
            <w:tcW w:w="940" w:type="dxa"/>
            <w:vAlign w:val="bottom"/>
          </w:tcPr>
          <w:p>
            <w:pPr>
              <w:spacing w:after="0"/>
              <w:rPr>
                <w:sz w:val="14"/>
                <w:szCs w:val="14"/>
                <w:color w:val="auto"/>
              </w:rPr>
            </w:pPr>
          </w:p>
        </w:tc>
      </w:tr>
      <w:tr>
        <w:trPr>
          <w:trHeight w:val="172"/>
        </w:trPr>
        <w:tc>
          <w:tcPr>
            <w:tcW w:w="4160" w:type="dxa"/>
            <w:vAlign w:val="bottom"/>
          </w:tcPr>
          <w:p>
            <w:pPr>
              <w:ind w:left="700"/>
              <w:spacing w:after="0"/>
              <w:rPr>
                <w:sz w:val="20"/>
                <w:szCs w:val="20"/>
                <w:color w:val="auto"/>
              </w:rPr>
            </w:pPr>
            <w:r>
              <w:rPr>
                <w:rFonts w:ascii="Courier New" w:cs="Courier New" w:eastAsia="Courier New" w:hAnsi="Courier New"/>
                <w:sz w:val="15"/>
                <w:szCs w:val="15"/>
                <w:color w:val="auto"/>
              </w:rPr>
              <w:t>Accounts receivable, net</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337,291</w:t>
            </w:r>
          </w:p>
        </w:tc>
        <w:tc>
          <w:tcPr>
            <w:tcW w:w="220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256,020</w:t>
            </w:r>
          </w:p>
        </w:tc>
      </w:tr>
      <w:tr>
        <w:trPr>
          <w:trHeight w:val="172"/>
        </w:trPr>
        <w:tc>
          <w:tcPr>
            <w:tcW w:w="4160" w:type="dxa"/>
            <w:vAlign w:val="bottom"/>
          </w:tcPr>
          <w:p>
            <w:pPr>
              <w:ind w:left="700"/>
              <w:spacing w:after="0"/>
              <w:rPr>
                <w:sz w:val="20"/>
                <w:szCs w:val="20"/>
                <w:color w:val="auto"/>
              </w:rPr>
            </w:pPr>
            <w:r>
              <w:rPr>
                <w:rFonts w:ascii="Courier New" w:cs="Courier New" w:eastAsia="Courier New" w:hAnsi="Courier New"/>
                <w:sz w:val="15"/>
                <w:szCs w:val="15"/>
                <w:color w:val="auto"/>
              </w:rPr>
              <w:t>Inventories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207,189</w:t>
            </w:r>
          </w:p>
        </w:tc>
        <w:tc>
          <w:tcPr>
            <w:tcW w:w="1020" w:type="dxa"/>
            <w:vAlign w:val="bottom"/>
          </w:tcPr>
          <w:p>
            <w:pPr>
              <w:spacing w:after="0"/>
              <w:rPr>
                <w:sz w:val="14"/>
                <w:szCs w:val="14"/>
                <w:color w:val="auto"/>
              </w:rPr>
            </w:pPr>
          </w:p>
        </w:tc>
        <w:tc>
          <w:tcPr>
            <w:tcW w:w="1260" w:type="dxa"/>
            <w:vAlign w:val="bottom"/>
          </w:tcPr>
          <w:p>
            <w:pPr>
              <w:ind w:left="580"/>
              <w:spacing w:after="0"/>
              <w:rPr>
                <w:sz w:val="20"/>
                <w:szCs w:val="20"/>
                <w:color w:val="auto"/>
              </w:rPr>
            </w:pPr>
            <w:r>
              <w:rPr>
                <w:rFonts w:ascii="Courier New" w:cs="Courier New" w:eastAsia="Courier New" w:hAnsi="Courier New"/>
                <w:sz w:val="15"/>
                <w:szCs w:val="15"/>
                <w:color w:val="auto"/>
              </w:rPr>
              <w:t>154,597</w:t>
            </w:r>
          </w:p>
        </w:tc>
        <w:tc>
          <w:tcPr>
            <w:tcW w:w="940" w:type="dxa"/>
            <w:vAlign w:val="bottom"/>
          </w:tcPr>
          <w:p>
            <w:pPr>
              <w:spacing w:after="0"/>
              <w:rPr>
                <w:sz w:val="14"/>
                <w:szCs w:val="14"/>
                <w:color w:val="auto"/>
              </w:rPr>
            </w:pPr>
          </w:p>
        </w:tc>
      </w:tr>
      <w:tr>
        <w:trPr>
          <w:trHeight w:val="172"/>
        </w:trPr>
        <w:tc>
          <w:tcPr>
            <w:tcW w:w="4160" w:type="dxa"/>
            <w:vAlign w:val="bottom"/>
          </w:tcPr>
          <w:p>
            <w:pPr>
              <w:ind w:left="700"/>
              <w:spacing w:after="0"/>
              <w:rPr>
                <w:sz w:val="20"/>
                <w:szCs w:val="20"/>
                <w:color w:val="auto"/>
              </w:rPr>
            </w:pPr>
            <w:r>
              <w:rPr>
                <w:rFonts w:ascii="Courier New" w:cs="Courier New" w:eastAsia="Courier New" w:hAnsi="Courier New"/>
                <w:sz w:val="15"/>
                <w:szCs w:val="15"/>
                <w:color w:val="auto"/>
              </w:rPr>
              <w:t>Deferred income taxes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ind w:left="260"/>
              <w:spacing w:after="0"/>
              <w:rPr>
                <w:sz w:val="20"/>
                <w:szCs w:val="20"/>
                <w:color w:val="auto"/>
              </w:rPr>
            </w:pPr>
            <w:r>
              <w:rPr>
                <w:rFonts w:ascii="Courier New" w:cs="Courier New" w:eastAsia="Courier New" w:hAnsi="Courier New"/>
                <w:sz w:val="15"/>
                <w:szCs w:val="15"/>
                <w:color w:val="auto"/>
                <w:w w:val="96"/>
              </w:rPr>
              <w:t>66,674</w:t>
            </w:r>
          </w:p>
        </w:tc>
        <w:tc>
          <w:tcPr>
            <w:tcW w:w="1020" w:type="dxa"/>
            <w:vAlign w:val="bottom"/>
          </w:tcPr>
          <w:p>
            <w:pPr>
              <w:spacing w:after="0"/>
              <w:rPr>
                <w:sz w:val="14"/>
                <w:szCs w:val="14"/>
                <w:color w:val="auto"/>
              </w:rPr>
            </w:pP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62,413</w:t>
            </w:r>
          </w:p>
        </w:tc>
        <w:tc>
          <w:tcPr>
            <w:tcW w:w="940" w:type="dxa"/>
            <w:vAlign w:val="bottom"/>
          </w:tcPr>
          <w:p>
            <w:pPr>
              <w:spacing w:after="0"/>
              <w:rPr>
                <w:sz w:val="14"/>
                <w:szCs w:val="14"/>
                <w:color w:val="auto"/>
              </w:rPr>
            </w:pPr>
          </w:p>
        </w:tc>
      </w:tr>
      <w:tr>
        <w:trPr>
          <w:trHeight w:val="172"/>
        </w:trPr>
        <w:tc>
          <w:tcPr>
            <w:tcW w:w="4160" w:type="dxa"/>
            <w:vAlign w:val="bottom"/>
          </w:tcPr>
          <w:p>
            <w:pPr>
              <w:ind w:left="700"/>
              <w:spacing w:after="0"/>
              <w:rPr>
                <w:sz w:val="20"/>
                <w:szCs w:val="20"/>
                <w:color w:val="auto"/>
              </w:rPr>
            </w:pPr>
            <w:r>
              <w:rPr>
                <w:rFonts w:ascii="Courier New" w:cs="Courier New" w:eastAsia="Courier New" w:hAnsi="Courier New"/>
                <w:sz w:val="15"/>
                <w:szCs w:val="15"/>
                <w:color w:val="auto"/>
              </w:rPr>
              <w:t>Other current assets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47,748</w:t>
            </w:r>
          </w:p>
        </w:tc>
        <w:tc>
          <w:tcPr>
            <w:tcW w:w="126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36,706</w:t>
            </w:r>
          </w:p>
        </w:tc>
      </w:tr>
      <w:tr>
        <w:trPr>
          <w:trHeight w:val="172"/>
        </w:trPr>
        <w:tc>
          <w:tcPr>
            <w:tcW w:w="4160" w:type="dxa"/>
            <w:vAlign w:val="bottom"/>
          </w:tcPr>
          <w:p>
            <w:pPr>
              <w:ind w:left="1420"/>
              <w:spacing w:after="0"/>
              <w:rPr>
                <w:sz w:val="20"/>
                <w:szCs w:val="20"/>
                <w:color w:val="auto"/>
              </w:rPr>
            </w:pPr>
            <w:r>
              <w:rPr>
                <w:rFonts w:ascii="Courier New" w:cs="Courier New" w:eastAsia="Courier New" w:hAnsi="Courier New"/>
                <w:sz w:val="15"/>
                <w:szCs w:val="15"/>
                <w:color w:val="auto"/>
              </w:rPr>
              <w:t>Total current assets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988,025</w:t>
            </w:r>
          </w:p>
        </w:tc>
        <w:tc>
          <w:tcPr>
            <w:tcW w:w="126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775,916</w:t>
            </w:r>
          </w:p>
        </w:tc>
      </w:tr>
      <w:tr>
        <w:trPr>
          <w:trHeight w:val="344"/>
        </w:trPr>
        <w:tc>
          <w:tcPr>
            <w:tcW w:w="4160" w:type="dxa"/>
            <w:vAlign w:val="bottom"/>
          </w:tcPr>
          <w:p>
            <w:pPr>
              <w:ind w:left="700"/>
              <w:spacing w:after="0"/>
              <w:rPr>
                <w:sz w:val="20"/>
                <w:szCs w:val="20"/>
                <w:color w:val="auto"/>
              </w:rPr>
            </w:pPr>
            <w:r>
              <w:rPr>
                <w:rFonts w:ascii="Courier New" w:cs="Courier New" w:eastAsia="Courier New" w:hAnsi="Courier New"/>
                <w:sz w:val="15"/>
                <w:szCs w:val="15"/>
                <w:color w:val="auto"/>
              </w:rPr>
              <w:t>Property, plant and equipment, net</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357,495</w:t>
            </w: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327,704</w:t>
            </w:r>
          </w:p>
        </w:tc>
        <w:tc>
          <w:tcPr>
            <w:tcW w:w="940" w:type="dxa"/>
            <w:vAlign w:val="bottom"/>
          </w:tcPr>
          <w:p>
            <w:pPr>
              <w:spacing w:after="0"/>
              <w:rPr>
                <w:sz w:val="24"/>
                <w:szCs w:val="24"/>
                <w:color w:val="auto"/>
              </w:rPr>
            </w:pPr>
          </w:p>
        </w:tc>
      </w:tr>
      <w:tr>
        <w:trPr>
          <w:trHeight w:val="172"/>
        </w:trPr>
        <w:tc>
          <w:tcPr>
            <w:tcW w:w="4160" w:type="dxa"/>
            <w:vAlign w:val="bottom"/>
          </w:tcPr>
          <w:p>
            <w:pPr>
              <w:ind w:left="700"/>
              <w:spacing w:after="0"/>
              <w:rPr>
                <w:sz w:val="20"/>
                <w:szCs w:val="20"/>
                <w:color w:val="auto"/>
              </w:rPr>
            </w:pPr>
            <w:r>
              <w:rPr>
                <w:rFonts w:ascii="Courier New" w:cs="Courier New" w:eastAsia="Courier New" w:hAnsi="Courier New"/>
                <w:sz w:val="15"/>
                <w:szCs w:val="15"/>
                <w:color w:val="auto"/>
              </w:rPr>
              <w:t>Other assets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Courier New" w:cs="Courier New" w:eastAsia="Courier New" w:hAnsi="Courier New"/>
                <w:sz w:val="15"/>
                <w:szCs w:val="15"/>
                <w:color w:val="auto"/>
              </w:rPr>
              <w:t>15,492</w:t>
            </w:r>
          </w:p>
        </w:tc>
        <w:tc>
          <w:tcPr>
            <w:tcW w:w="126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16,532</w:t>
            </w:r>
          </w:p>
        </w:tc>
      </w:tr>
      <w:tr>
        <w:trPr>
          <w:trHeight w:val="172"/>
        </w:trPr>
        <w:tc>
          <w:tcPr>
            <w:tcW w:w="4160" w:type="dxa"/>
            <w:vAlign w:val="bottom"/>
          </w:tcPr>
          <w:p>
            <w:pPr>
              <w:ind w:left="700"/>
              <w:spacing w:after="0"/>
              <w:rPr>
                <w:sz w:val="20"/>
                <w:szCs w:val="20"/>
                <w:color w:val="auto"/>
              </w:rPr>
            </w:pPr>
            <w:r>
              <w:rPr>
                <w:rFonts w:ascii="Courier New" w:cs="Courier New" w:eastAsia="Courier New" w:hAnsi="Courier New"/>
                <w:sz w:val="15"/>
                <w:szCs w:val="15"/>
                <w:color w:val="auto"/>
              </w:rPr>
              <w:t>Total assets</w:t>
            </w:r>
          </w:p>
        </w:tc>
        <w:tc>
          <w:tcPr>
            <w:tcW w:w="340" w:type="dxa"/>
            <w:vAlign w:val="bottom"/>
          </w:tcPr>
          <w:p>
            <w:pPr>
              <w:spacing w:after="0"/>
              <w:rPr>
                <w:sz w:val="14"/>
                <w:szCs w:val="14"/>
                <w:color w:val="auto"/>
              </w:rPr>
            </w:pPr>
          </w:p>
        </w:tc>
        <w:tc>
          <w:tcPr>
            <w:tcW w:w="2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8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1,361,012</w:t>
            </w:r>
          </w:p>
        </w:tc>
        <w:tc>
          <w:tcPr>
            <w:tcW w:w="12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1,120,152</w:t>
            </w:r>
          </w:p>
        </w:tc>
      </w:tr>
      <w:tr>
        <w:trPr>
          <w:trHeight w:val="516"/>
        </w:trPr>
        <w:tc>
          <w:tcPr>
            <w:tcW w:w="4160" w:type="dxa"/>
            <w:vAlign w:val="bottom"/>
          </w:tcPr>
          <w:p>
            <w:pPr>
              <w:ind w:left="700"/>
              <w:spacing w:after="0"/>
              <w:rPr>
                <w:sz w:val="20"/>
                <w:szCs w:val="20"/>
                <w:color w:val="auto"/>
              </w:rPr>
            </w:pPr>
            <w:r>
              <w:rPr>
                <w:rFonts w:ascii="Courier New" w:cs="Courier New" w:eastAsia="Courier New" w:hAnsi="Courier New"/>
                <w:sz w:val="15"/>
                <w:szCs w:val="15"/>
                <w:color w:val="auto"/>
              </w:rPr>
              <w:t>LIABILITIES</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2"/>
        </w:trPr>
        <w:tc>
          <w:tcPr>
            <w:tcW w:w="4160" w:type="dxa"/>
            <w:vAlign w:val="bottom"/>
          </w:tcPr>
          <w:p>
            <w:pPr>
              <w:ind w:left="80"/>
              <w:spacing w:after="0"/>
              <w:rPr>
                <w:sz w:val="20"/>
                <w:szCs w:val="20"/>
                <w:color w:val="auto"/>
              </w:rPr>
            </w:pPr>
            <w:r>
              <w:rPr>
                <w:rFonts w:ascii="Courier New" w:cs="Courier New" w:eastAsia="Courier New" w:hAnsi="Courier New"/>
                <w:sz w:val="15"/>
                <w:szCs w:val="15"/>
                <w:color w:val="auto"/>
              </w:rPr>
              <w:t>AND</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4160" w:type="dxa"/>
            <w:vAlign w:val="bottom"/>
          </w:tcPr>
          <w:p>
            <w:pPr>
              <w:ind w:left="700"/>
              <w:spacing w:after="0"/>
              <w:rPr>
                <w:sz w:val="20"/>
                <w:szCs w:val="20"/>
                <w:color w:val="auto"/>
              </w:rPr>
            </w:pPr>
            <w:r>
              <w:rPr>
                <w:rFonts w:ascii="Courier New" w:cs="Courier New" w:eastAsia="Courier New" w:hAnsi="Courier New"/>
                <w:sz w:val="15"/>
                <w:szCs w:val="15"/>
                <w:color w:val="auto"/>
              </w:rPr>
              <w:t>STOCKHOLDERS'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4160" w:type="dxa"/>
            <w:vAlign w:val="bottom"/>
          </w:tcPr>
          <w:p>
            <w:pPr>
              <w:ind w:left="80"/>
              <w:spacing w:after="0"/>
              <w:rPr>
                <w:sz w:val="20"/>
                <w:szCs w:val="20"/>
                <w:color w:val="auto"/>
              </w:rPr>
            </w:pPr>
            <w:r>
              <w:rPr>
                <w:rFonts w:ascii="Courier New" w:cs="Courier New" w:eastAsia="Courier New" w:hAnsi="Courier New"/>
                <w:sz w:val="15"/>
                <w:szCs w:val="15"/>
                <w:color w:val="auto"/>
              </w:rPr>
              <w:t>EQUITY</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4160" w:type="dxa"/>
            <w:vAlign w:val="bottom"/>
          </w:tcPr>
          <w:p>
            <w:pPr>
              <w:ind w:left="80"/>
              <w:spacing w:after="0"/>
              <w:rPr>
                <w:sz w:val="20"/>
                <w:szCs w:val="20"/>
                <w:color w:val="auto"/>
              </w:rPr>
            </w:pPr>
            <w:r>
              <w:rPr>
                <w:rFonts w:ascii="Courier New" w:cs="Courier New" w:eastAsia="Courier New" w:hAnsi="Courier New"/>
                <w:sz w:val="15"/>
                <w:szCs w:val="15"/>
                <w:color w:val="auto"/>
              </w:rPr>
              <w:t>Current liabilities: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4160" w:type="dxa"/>
            <w:vAlign w:val="bottom"/>
          </w:tcPr>
          <w:p>
            <w:pPr>
              <w:ind w:left="1420"/>
              <w:spacing w:after="0"/>
              <w:rPr>
                <w:sz w:val="20"/>
                <w:szCs w:val="20"/>
                <w:color w:val="auto"/>
              </w:rPr>
            </w:pPr>
            <w:r>
              <w:rPr>
                <w:rFonts w:ascii="Courier New" w:cs="Courier New" w:eastAsia="Courier New" w:hAnsi="Courier New"/>
                <w:sz w:val="15"/>
                <w:szCs w:val="15"/>
                <w:color w:val="auto"/>
              </w:rPr>
              <w:t>Notes payable</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20"/>
                <w:szCs w:val="20"/>
                <w:color w:val="auto"/>
              </w:rPr>
            </w:pPr>
            <w:r>
              <w:rPr>
                <w:rFonts w:ascii="Courier New" w:cs="Courier New" w:eastAsia="Courier New" w:hAnsi="Courier New"/>
                <w:sz w:val="15"/>
                <w:szCs w:val="15"/>
                <w:color w:val="auto"/>
              </w:rPr>
              <w:t>35,671</w:t>
            </w:r>
          </w:p>
        </w:tc>
        <w:tc>
          <w:tcPr>
            <w:tcW w:w="12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41,645</w:t>
            </w:r>
          </w:p>
        </w:tc>
      </w:tr>
      <w:tr>
        <w:trPr>
          <w:trHeight w:val="172"/>
        </w:trPr>
        <w:tc>
          <w:tcPr>
            <w:tcW w:w="4500" w:type="dxa"/>
            <w:vAlign w:val="bottom"/>
            <w:gridSpan w:val="2"/>
          </w:tcPr>
          <w:p>
            <w:pPr>
              <w:ind w:left="1420"/>
              <w:spacing w:after="0"/>
              <w:rPr>
                <w:sz w:val="20"/>
                <w:szCs w:val="20"/>
                <w:color w:val="auto"/>
              </w:rPr>
            </w:pPr>
            <w:r>
              <w:rPr>
                <w:rFonts w:ascii="Courier New" w:cs="Courier New" w:eastAsia="Courier New" w:hAnsi="Courier New"/>
                <w:sz w:val="15"/>
                <w:szCs w:val="15"/>
                <w:color w:val="auto"/>
              </w:rPr>
              <w:t>Current portion of long-term debt</w:t>
            </w: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14,941</w:t>
            </w:r>
          </w:p>
        </w:tc>
        <w:tc>
          <w:tcPr>
            <w:tcW w:w="1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7,017</w:t>
            </w:r>
          </w:p>
        </w:tc>
      </w:tr>
      <w:tr>
        <w:trPr>
          <w:trHeight w:val="172"/>
        </w:trPr>
        <w:tc>
          <w:tcPr>
            <w:tcW w:w="4160" w:type="dxa"/>
            <w:vAlign w:val="bottom"/>
          </w:tcPr>
          <w:p>
            <w:pPr>
              <w:ind w:left="1420"/>
              <w:spacing w:after="0"/>
              <w:rPr>
                <w:sz w:val="20"/>
                <w:szCs w:val="20"/>
                <w:color w:val="auto"/>
              </w:rPr>
            </w:pPr>
            <w:r>
              <w:rPr>
                <w:rFonts w:ascii="Courier New" w:cs="Courier New" w:eastAsia="Courier New" w:hAnsi="Courier New"/>
                <w:sz w:val="15"/>
                <w:szCs w:val="15"/>
                <w:color w:val="auto"/>
              </w:rPr>
              <w:t>Accounts payable and</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4160" w:type="dxa"/>
            <w:vAlign w:val="bottom"/>
          </w:tcPr>
          <w:p>
            <w:pPr>
              <w:ind w:left="700"/>
              <w:spacing w:after="0"/>
              <w:rPr>
                <w:sz w:val="20"/>
                <w:szCs w:val="20"/>
                <w:color w:val="auto"/>
              </w:rPr>
            </w:pPr>
            <w:r>
              <w:rPr>
                <w:rFonts w:ascii="Courier New" w:cs="Courier New" w:eastAsia="Courier New" w:hAnsi="Courier New"/>
                <w:sz w:val="15"/>
                <w:szCs w:val="15"/>
                <w:color w:val="auto"/>
              </w:rPr>
              <w:t>accrued expenses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331,625</w:t>
            </w:r>
          </w:p>
        </w:tc>
        <w:tc>
          <w:tcPr>
            <w:tcW w:w="1260" w:type="dxa"/>
            <w:vAlign w:val="bottom"/>
          </w:tcPr>
          <w:p>
            <w:pPr>
              <w:ind w:left="580"/>
              <w:spacing w:after="0"/>
              <w:rPr>
                <w:sz w:val="20"/>
                <w:szCs w:val="20"/>
                <w:color w:val="auto"/>
              </w:rPr>
            </w:pPr>
            <w:r>
              <w:rPr>
                <w:rFonts w:ascii="Courier New" w:cs="Courier New" w:eastAsia="Courier New" w:hAnsi="Courier New"/>
                <w:sz w:val="15"/>
                <w:szCs w:val="15"/>
                <w:color w:val="auto"/>
              </w:rPr>
              <w:t>282,699</w:t>
            </w:r>
          </w:p>
        </w:tc>
        <w:tc>
          <w:tcPr>
            <w:tcW w:w="940" w:type="dxa"/>
            <w:vAlign w:val="bottom"/>
          </w:tcPr>
          <w:p>
            <w:pPr>
              <w:spacing w:after="0"/>
              <w:rPr>
                <w:sz w:val="14"/>
                <w:szCs w:val="14"/>
                <w:color w:val="auto"/>
              </w:rPr>
            </w:pPr>
          </w:p>
        </w:tc>
      </w:tr>
      <w:tr>
        <w:trPr>
          <w:trHeight w:val="172"/>
        </w:trPr>
        <w:tc>
          <w:tcPr>
            <w:tcW w:w="4160" w:type="dxa"/>
            <w:vAlign w:val="bottom"/>
          </w:tcPr>
          <w:p>
            <w:pPr>
              <w:ind w:left="700"/>
              <w:spacing w:after="0"/>
              <w:rPr>
                <w:sz w:val="20"/>
                <w:szCs w:val="20"/>
                <w:color w:val="auto"/>
              </w:rPr>
            </w:pPr>
            <w:r>
              <w:rPr>
                <w:rFonts w:ascii="Courier New" w:cs="Courier New" w:eastAsia="Courier New" w:hAnsi="Courier New"/>
                <w:sz w:val="15"/>
                <w:szCs w:val="15"/>
                <w:color w:val="auto"/>
              </w:rPr>
              <w:t>Income taxes payable</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38,022</w:t>
            </w:r>
          </w:p>
        </w:tc>
        <w:tc>
          <w:tcPr>
            <w:tcW w:w="1020" w:type="dxa"/>
            <w:vAlign w:val="bottom"/>
          </w:tcPr>
          <w:p>
            <w:pPr>
              <w:spacing w:after="0"/>
              <w:rPr>
                <w:sz w:val="14"/>
                <w:szCs w:val="14"/>
                <w:color w:val="auto"/>
              </w:rPr>
            </w:pPr>
          </w:p>
        </w:tc>
        <w:tc>
          <w:tcPr>
            <w:tcW w:w="1260" w:type="dxa"/>
            <w:vAlign w:val="bottom"/>
          </w:tcPr>
          <w:p>
            <w:pPr>
              <w:ind w:left="580"/>
              <w:spacing w:after="0"/>
              <w:rPr>
                <w:sz w:val="20"/>
                <w:szCs w:val="20"/>
                <w:color w:val="auto"/>
              </w:rPr>
            </w:pPr>
            <w:r>
              <w:rPr>
                <w:rFonts w:ascii="Courier New" w:cs="Courier New" w:eastAsia="Courier New" w:hAnsi="Courier New"/>
                <w:sz w:val="15"/>
                <w:szCs w:val="15"/>
                <w:color w:val="auto"/>
              </w:rPr>
              <w:t>49,167</w:t>
            </w:r>
          </w:p>
        </w:tc>
        <w:tc>
          <w:tcPr>
            <w:tcW w:w="940" w:type="dxa"/>
            <w:vAlign w:val="bottom"/>
          </w:tcPr>
          <w:p>
            <w:pPr>
              <w:spacing w:after="0"/>
              <w:rPr>
                <w:sz w:val="14"/>
                <w:szCs w:val="14"/>
                <w:color w:val="auto"/>
              </w:rPr>
            </w:pPr>
          </w:p>
        </w:tc>
      </w:tr>
      <w:tr>
        <w:trPr>
          <w:trHeight w:val="172"/>
        </w:trPr>
        <w:tc>
          <w:tcPr>
            <w:tcW w:w="4160" w:type="dxa"/>
            <w:vAlign w:val="bottom"/>
          </w:tcPr>
          <w:p>
            <w:pPr>
              <w:ind w:left="700"/>
              <w:spacing w:after="0"/>
              <w:rPr>
                <w:sz w:val="20"/>
                <w:szCs w:val="20"/>
                <w:color w:val="auto"/>
              </w:rPr>
            </w:pPr>
            <w:r>
              <w:rPr>
                <w:rFonts w:ascii="Courier New" w:cs="Courier New" w:eastAsia="Courier New" w:hAnsi="Courier New"/>
                <w:sz w:val="15"/>
                <w:szCs w:val="15"/>
                <w:color w:val="auto"/>
              </w:rPr>
              <w:t>Total current liabilities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420,259</w:t>
            </w: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380,528</w:t>
            </w:r>
          </w:p>
        </w:tc>
        <w:tc>
          <w:tcPr>
            <w:tcW w:w="940" w:type="dxa"/>
            <w:vAlign w:val="bottom"/>
          </w:tcPr>
          <w:p>
            <w:pPr>
              <w:spacing w:after="0"/>
              <w:rPr>
                <w:sz w:val="14"/>
                <w:szCs w:val="14"/>
                <w:color w:val="auto"/>
              </w:rPr>
            </w:pPr>
          </w:p>
        </w:tc>
      </w:tr>
      <w:tr>
        <w:trPr>
          <w:trHeight w:val="344"/>
        </w:trPr>
        <w:tc>
          <w:tcPr>
            <w:tcW w:w="4160" w:type="dxa"/>
            <w:vAlign w:val="bottom"/>
          </w:tcPr>
          <w:p>
            <w:pPr>
              <w:ind w:left="700"/>
              <w:spacing w:after="0"/>
              <w:rPr>
                <w:sz w:val="20"/>
                <w:szCs w:val="20"/>
                <w:color w:val="auto"/>
              </w:rPr>
            </w:pPr>
            <w:r>
              <w:rPr>
                <w:rFonts w:ascii="Courier New" w:cs="Courier New" w:eastAsia="Courier New" w:hAnsi="Courier New"/>
                <w:sz w:val="15"/>
                <w:szCs w:val="15"/>
                <w:color w:val="auto"/>
              </w:rPr>
              <w:t>Long-term debt</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110,730</w:t>
            </w: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121,076</w:t>
            </w:r>
          </w:p>
        </w:tc>
        <w:tc>
          <w:tcPr>
            <w:tcW w:w="940" w:type="dxa"/>
            <w:vAlign w:val="bottom"/>
          </w:tcPr>
          <w:p>
            <w:pPr>
              <w:spacing w:after="0"/>
              <w:rPr>
                <w:sz w:val="24"/>
                <w:szCs w:val="24"/>
                <w:color w:val="auto"/>
              </w:rPr>
            </w:pPr>
          </w:p>
        </w:tc>
      </w:tr>
      <w:tr>
        <w:trPr>
          <w:trHeight w:val="172"/>
        </w:trPr>
        <w:tc>
          <w:tcPr>
            <w:tcW w:w="4160" w:type="dxa"/>
            <w:vAlign w:val="bottom"/>
          </w:tcPr>
          <w:p>
            <w:pPr>
              <w:ind w:left="700"/>
              <w:spacing w:after="0"/>
              <w:rPr>
                <w:sz w:val="20"/>
                <w:szCs w:val="20"/>
                <w:color w:val="auto"/>
              </w:rPr>
            </w:pPr>
            <w:r>
              <w:rPr>
                <w:rFonts w:ascii="Courier New" w:cs="Courier New" w:eastAsia="Courier New" w:hAnsi="Courier New"/>
                <w:sz w:val="15"/>
                <w:szCs w:val="15"/>
                <w:color w:val="auto"/>
              </w:rPr>
              <w:t>Deferred income taxes and</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4160" w:type="dxa"/>
            <w:vAlign w:val="bottom"/>
          </w:tcPr>
          <w:p>
            <w:pPr>
              <w:ind w:left="1420"/>
              <w:spacing w:after="0"/>
              <w:rPr>
                <w:sz w:val="20"/>
                <w:szCs w:val="20"/>
                <w:color w:val="auto"/>
              </w:rPr>
            </w:pPr>
            <w:r>
              <w:rPr>
                <w:rFonts w:ascii="Courier New" w:cs="Courier New" w:eastAsia="Courier New" w:hAnsi="Courier New"/>
                <w:sz w:val="15"/>
                <w:szCs w:val="15"/>
                <w:color w:val="auto"/>
              </w:rPr>
              <w:t>other non-current obligations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24,796</w:t>
            </w:r>
          </w:p>
        </w:tc>
        <w:tc>
          <w:tcPr>
            <w:tcW w:w="126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19,786</w:t>
            </w:r>
          </w:p>
        </w:tc>
      </w:tr>
      <w:tr>
        <w:trPr>
          <w:trHeight w:val="172"/>
        </w:trPr>
        <w:tc>
          <w:tcPr>
            <w:tcW w:w="4160" w:type="dxa"/>
            <w:vAlign w:val="bottom"/>
          </w:tcPr>
          <w:p>
            <w:pPr>
              <w:ind w:left="700"/>
              <w:spacing w:after="0"/>
              <w:rPr>
                <w:sz w:val="20"/>
                <w:szCs w:val="20"/>
                <w:color w:val="auto"/>
              </w:rPr>
            </w:pPr>
            <w:r>
              <w:rPr>
                <w:rFonts w:ascii="Courier New" w:cs="Courier New" w:eastAsia="Courier New" w:hAnsi="Courier New"/>
                <w:sz w:val="15"/>
                <w:szCs w:val="15"/>
                <w:color w:val="auto"/>
              </w:rPr>
              <w:t>Total liabilities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555,785</w:t>
            </w:r>
          </w:p>
        </w:tc>
        <w:tc>
          <w:tcPr>
            <w:tcW w:w="1260" w:type="dxa"/>
            <w:vAlign w:val="bottom"/>
          </w:tcPr>
          <w:p>
            <w:pPr>
              <w:spacing w:after="0"/>
              <w:rPr>
                <w:sz w:val="14"/>
                <w:szCs w:val="14"/>
                <w:color w:val="auto"/>
              </w:rPr>
            </w:pP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521,390</w:t>
            </w:r>
          </w:p>
        </w:tc>
      </w:tr>
      <w:tr>
        <w:trPr>
          <w:trHeight w:val="344"/>
        </w:trPr>
        <w:tc>
          <w:tcPr>
            <w:tcW w:w="4160" w:type="dxa"/>
            <w:vAlign w:val="bottom"/>
          </w:tcPr>
          <w:p>
            <w:pPr>
              <w:ind w:left="700"/>
              <w:spacing w:after="0"/>
              <w:rPr>
                <w:sz w:val="20"/>
                <w:szCs w:val="20"/>
                <w:color w:val="auto"/>
              </w:rPr>
            </w:pPr>
            <w:r>
              <w:rPr>
                <w:rFonts w:ascii="Courier New" w:cs="Courier New" w:eastAsia="Courier New" w:hAnsi="Courier New"/>
                <w:sz w:val="15"/>
                <w:szCs w:val="15"/>
                <w:color w:val="auto"/>
              </w:rPr>
              <w:t>Stockholders' equity:</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2"/>
        </w:trPr>
        <w:tc>
          <w:tcPr>
            <w:tcW w:w="4160" w:type="dxa"/>
            <w:vAlign w:val="bottom"/>
          </w:tcPr>
          <w:p>
            <w:pPr>
              <w:ind w:left="700"/>
              <w:spacing w:after="0"/>
              <w:rPr>
                <w:sz w:val="20"/>
                <w:szCs w:val="20"/>
                <w:color w:val="auto"/>
              </w:rPr>
            </w:pPr>
            <w:r>
              <w:rPr>
                <w:rFonts w:ascii="Courier New" w:cs="Courier New" w:eastAsia="Courier New" w:hAnsi="Courier New"/>
                <w:sz w:val="15"/>
                <w:szCs w:val="15"/>
                <w:color w:val="auto"/>
              </w:rPr>
              <w:t>Common stock</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834</w:t>
            </w:r>
          </w:p>
        </w:tc>
        <w:tc>
          <w:tcPr>
            <w:tcW w:w="1020" w:type="dxa"/>
            <w:vAlign w:val="bottom"/>
          </w:tcPr>
          <w:p>
            <w:pPr>
              <w:spacing w:after="0"/>
              <w:rPr>
                <w:sz w:val="14"/>
                <w:szCs w:val="14"/>
                <w:color w:val="auto"/>
              </w:rPr>
            </w:pPr>
          </w:p>
        </w:tc>
        <w:tc>
          <w:tcPr>
            <w:tcW w:w="1260" w:type="dxa"/>
            <w:vAlign w:val="bottom"/>
          </w:tcPr>
          <w:p>
            <w:pPr>
              <w:ind w:left="580"/>
              <w:spacing w:after="0"/>
              <w:rPr>
                <w:sz w:val="20"/>
                <w:szCs w:val="20"/>
                <w:color w:val="auto"/>
              </w:rPr>
            </w:pPr>
            <w:r>
              <w:rPr>
                <w:rFonts w:ascii="Courier New" w:cs="Courier New" w:eastAsia="Courier New" w:hAnsi="Courier New"/>
                <w:sz w:val="15"/>
                <w:szCs w:val="15"/>
                <w:color w:val="auto"/>
              </w:rPr>
              <w:t>804</w:t>
            </w:r>
          </w:p>
        </w:tc>
        <w:tc>
          <w:tcPr>
            <w:tcW w:w="940" w:type="dxa"/>
            <w:vAlign w:val="bottom"/>
          </w:tcPr>
          <w:p>
            <w:pPr>
              <w:spacing w:after="0"/>
              <w:rPr>
                <w:sz w:val="14"/>
                <w:szCs w:val="14"/>
                <w:color w:val="auto"/>
              </w:rPr>
            </w:pPr>
          </w:p>
        </w:tc>
      </w:tr>
      <w:tr>
        <w:trPr>
          <w:trHeight w:val="172"/>
        </w:trPr>
        <w:tc>
          <w:tcPr>
            <w:tcW w:w="4160" w:type="dxa"/>
            <w:vAlign w:val="bottom"/>
          </w:tcPr>
          <w:p>
            <w:pPr>
              <w:ind w:left="700"/>
              <w:spacing w:after="0"/>
              <w:rPr>
                <w:sz w:val="20"/>
                <w:szCs w:val="20"/>
                <w:color w:val="auto"/>
              </w:rPr>
            </w:pPr>
            <w:r>
              <w:rPr>
                <w:rFonts w:ascii="Courier New" w:cs="Courier New" w:eastAsia="Courier New" w:hAnsi="Courier New"/>
                <w:sz w:val="15"/>
                <w:szCs w:val="15"/>
                <w:color w:val="auto"/>
              </w:rPr>
              <w:t>Additional paid-in capital</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362,720</w:t>
            </w: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256,429</w:t>
            </w:r>
          </w:p>
        </w:tc>
        <w:tc>
          <w:tcPr>
            <w:tcW w:w="940" w:type="dxa"/>
            <w:vAlign w:val="bottom"/>
          </w:tcPr>
          <w:p>
            <w:pPr>
              <w:spacing w:after="0"/>
              <w:rPr>
                <w:sz w:val="14"/>
                <w:szCs w:val="14"/>
                <w:color w:val="auto"/>
              </w:rPr>
            </w:pPr>
          </w:p>
        </w:tc>
      </w:tr>
      <w:tr>
        <w:trPr>
          <w:trHeight w:val="172"/>
        </w:trPr>
        <w:tc>
          <w:tcPr>
            <w:tcW w:w="4160" w:type="dxa"/>
            <w:vAlign w:val="bottom"/>
          </w:tcPr>
          <w:p>
            <w:pPr>
              <w:ind w:left="800"/>
              <w:spacing w:after="0"/>
              <w:rPr>
                <w:sz w:val="20"/>
                <w:szCs w:val="20"/>
                <w:color w:val="auto"/>
              </w:rPr>
            </w:pPr>
            <w:r>
              <w:rPr>
                <w:rFonts w:ascii="Courier New" w:cs="Courier New" w:eastAsia="Courier New" w:hAnsi="Courier New"/>
                <w:sz w:val="15"/>
                <w:szCs w:val="15"/>
                <w:color w:val="auto"/>
              </w:rPr>
              <w:t>Retained earnings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424,692</w:t>
            </w:r>
          </w:p>
        </w:tc>
        <w:tc>
          <w:tcPr>
            <w:tcW w:w="126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325,230</w:t>
            </w:r>
          </w:p>
        </w:tc>
        <w:tc>
          <w:tcPr>
            <w:tcW w:w="940" w:type="dxa"/>
            <w:vAlign w:val="bottom"/>
          </w:tcPr>
          <w:p>
            <w:pPr>
              <w:spacing w:after="0"/>
              <w:rPr>
                <w:sz w:val="14"/>
                <w:szCs w:val="14"/>
                <w:color w:val="auto"/>
              </w:rPr>
            </w:pPr>
          </w:p>
        </w:tc>
      </w:tr>
      <w:tr>
        <w:trPr>
          <w:trHeight w:val="172"/>
        </w:trPr>
        <w:tc>
          <w:tcPr>
            <w:tcW w:w="4160" w:type="dxa"/>
            <w:vAlign w:val="bottom"/>
          </w:tcPr>
          <w:p>
            <w:pPr>
              <w:ind w:left="700"/>
              <w:spacing w:after="0"/>
              <w:rPr>
                <w:sz w:val="20"/>
                <w:szCs w:val="20"/>
                <w:color w:val="auto"/>
              </w:rPr>
            </w:pPr>
            <w:r>
              <w:rPr>
                <w:rFonts w:ascii="Courier New" w:cs="Courier New" w:eastAsia="Courier New" w:hAnsi="Courier New"/>
                <w:sz w:val="15"/>
                <w:szCs w:val="15"/>
                <w:color w:val="auto"/>
              </w:rPr>
              <w:t>Cumulative translation adjustments</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16,981</w:t>
            </w:r>
          </w:p>
        </w:tc>
        <w:tc>
          <w:tcPr>
            <w:tcW w:w="2200" w:type="dxa"/>
            <w:vAlign w:val="bottom"/>
            <w:gridSpan w:val="2"/>
          </w:tcPr>
          <w:p>
            <w:pPr>
              <w:jc w:val="right"/>
              <w:ind w:right="645"/>
              <w:spacing w:after="0"/>
              <w:rPr>
                <w:sz w:val="20"/>
                <w:szCs w:val="20"/>
                <w:color w:val="auto"/>
              </w:rPr>
            </w:pPr>
            <w:r>
              <w:rPr>
                <w:rFonts w:ascii="Courier New" w:cs="Courier New" w:eastAsia="Courier New" w:hAnsi="Courier New"/>
                <w:sz w:val="15"/>
                <w:szCs w:val="15"/>
                <w:color w:val="auto"/>
              </w:rPr>
              <w:t>16,299</w:t>
            </w:r>
          </w:p>
        </w:tc>
      </w:tr>
      <w:tr>
        <w:trPr>
          <w:trHeight w:val="172"/>
        </w:trPr>
        <w:tc>
          <w:tcPr>
            <w:tcW w:w="4160" w:type="dxa"/>
            <w:vAlign w:val="bottom"/>
          </w:tcPr>
          <w:p>
            <w:pPr>
              <w:ind w:left="700"/>
              <w:spacing w:after="0"/>
              <w:rPr>
                <w:sz w:val="20"/>
                <w:szCs w:val="20"/>
                <w:color w:val="auto"/>
              </w:rPr>
            </w:pPr>
            <w:r>
              <w:rPr>
                <w:rFonts w:ascii="Courier New" w:cs="Courier New" w:eastAsia="Courier New" w:hAnsi="Courier New"/>
                <w:sz w:val="15"/>
                <w:szCs w:val="15"/>
                <w:color w:val="auto"/>
              </w:rPr>
              <w:t>Total stockholders' equity</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ind w:left="180"/>
              <w:spacing w:after="0"/>
              <w:rPr>
                <w:sz w:val="20"/>
                <w:szCs w:val="20"/>
                <w:color w:val="auto"/>
              </w:rPr>
            </w:pPr>
            <w:r>
              <w:rPr>
                <w:rFonts w:ascii="Courier New" w:cs="Courier New" w:eastAsia="Courier New" w:hAnsi="Courier New"/>
                <w:sz w:val="15"/>
                <w:szCs w:val="15"/>
                <w:color w:val="auto"/>
              </w:rPr>
              <w:t>805,227</w:t>
            </w:r>
          </w:p>
        </w:tc>
        <w:tc>
          <w:tcPr>
            <w:tcW w:w="1260" w:type="dxa"/>
            <w:vAlign w:val="bottom"/>
          </w:tcPr>
          <w:p>
            <w:pPr>
              <w:spacing w:after="0"/>
              <w:rPr>
                <w:sz w:val="14"/>
                <w:szCs w:val="14"/>
                <w:color w:val="auto"/>
              </w:rPr>
            </w:pP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598,762</w:t>
            </w:r>
          </w:p>
        </w:tc>
      </w:tr>
      <w:tr>
        <w:trPr>
          <w:trHeight w:val="172"/>
        </w:trPr>
        <w:tc>
          <w:tcPr>
            <w:tcW w:w="4160" w:type="dxa"/>
            <w:vAlign w:val="bottom"/>
          </w:tcPr>
          <w:p>
            <w:pPr>
              <w:ind w:left="700"/>
              <w:spacing w:after="0"/>
              <w:rPr>
                <w:sz w:val="20"/>
                <w:szCs w:val="20"/>
                <w:color w:val="auto"/>
              </w:rPr>
            </w:pPr>
            <w:r>
              <w:rPr>
                <w:rFonts w:ascii="Courier New" w:cs="Courier New" w:eastAsia="Courier New" w:hAnsi="Courier New"/>
                <w:sz w:val="15"/>
                <w:szCs w:val="15"/>
                <w:color w:val="auto"/>
              </w:rPr>
              <w:t>Total liabilities and</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4160" w:type="dxa"/>
            <w:vAlign w:val="bottom"/>
          </w:tcPr>
          <w:p>
            <w:pPr>
              <w:ind w:left="700"/>
              <w:spacing w:after="0"/>
              <w:rPr>
                <w:sz w:val="20"/>
                <w:szCs w:val="20"/>
                <w:color w:val="auto"/>
              </w:rPr>
            </w:pPr>
            <w:r>
              <w:rPr>
                <w:rFonts w:ascii="Courier New" w:cs="Courier New" w:eastAsia="Courier New" w:hAnsi="Courier New"/>
                <w:sz w:val="15"/>
                <w:szCs w:val="15"/>
                <w:color w:val="auto"/>
              </w:rPr>
              <w:t>stockholders' equity</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18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1,361,012</w:t>
            </w:r>
          </w:p>
        </w:tc>
        <w:tc>
          <w:tcPr>
            <w:tcW w:w="126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1,120,152</w:t>
            </w:r>
          </w:p>
        </w:tc>
      </w:tr>
    </w:tbl>
    <w:p>
      <w:pPr>
        <w:spacing w:after="0" w:line="176" w:lineRule="exact"/>
        <w:rPr>
          <w:sz w:val="20"/>
          <w:szCs w:val="20"/>
          <w:color w:val="auto"/>
        </w:rPr>
      </w:pPr>
    </w:p>
    <w:p>
      <w:pPr>
        <w:ind w:right="3760"/>
        <w:spacing w:after="0"/>
        <w:rPr>
          <w:sz w:val="20"/>
          <w:szCs w:val="20"/>
          <w:color w:val="auto"/>
        </w:rPr>
      </w:pPr>
      <w:r>
        <w:rPr>
          <w:rFonts w:ascii="Courier New" w:cs="Courier New" w:eastAsia="Courier New" w:hAnsi="Courier New"/>
          <w:sz w:val="15"/>
          <w:szCs w:val="15"/>
          <w:color w:val="auto"/>
        </w:rPr>
        <w:t>Amounts as of May 1, 1994 are unaudited. Amounts as of October 31, 1993 were obtained from the October 31, 1993 audited financial statements.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consolidated condensed financial statements.</w:t>
      </w:r>
    </w:p>
    <w:p>
      <w:pPr>
        <w:spacing w:after="0" w:line="346"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APPLIED MATERIALS, INC.</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CONSOLIDATED CONDENSED STATEMENTS OF CASH FLOWS</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(UNAUDITED)</w:t>
      </w:r>
    </w:p>
    <w:p>
      <w:pPr>
        <w:spacing w:after="0" w:line="346"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3760" w:type="dxa"/>
            <w:vAlign w:val="bottom"/>
          </w:tcPr>
          <w:p>
            <w:pPr>
              <w:spacing w:after="0"/>
              <w:rPr>
                <w:sz w:val="14"/>
                <w:szCs w:val="14"/>
                <w:color w:val="auto"/>
              </w:rPr>
            </w:pPr>
          </w:p>
        </w:tc>
        <w:tc>
          <w:tcPr>
            <w:tcW w:w="210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Six Months Ended</w:t>
            </w:r>
          </w:p>
        </w:tc>
        <w:tc>
          <w:tcPr>
            <w:tcW w:w="18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3760" w:type="dxa"/>
            <w:vAlign w:val="bottom"/>
          </w:tcPr>
          <w:p>
            <w:pPr>
              <w:spacing w:after="0"/>
              <w:rPr>
                <w:sz w:val="14"/>
                <w:szCs w:val="14"/>
                <w:color w:val="auto"/>
              </w:rPr>
            </w:pPr>
          </w:p>
        </w:tc>
        <w:tc>
          <w:tcPr>
            <w:tcW w:w="1260" w:type="dxa"/>
            <w:vAlign w:val="bottom"/>
          </w:tcPr>
          <w:p>
            <w:pPr>
              <w:ind w:left="460"/>
              <w:spacing w:after="0"/>
              <w:rPr>
                <w:sz w:val="20"/>
                <w:szCs w:val="20"/>
                <w:color w:val="auto"/>
              </w:rPr>
            </w:pPr>
            <w:r>
              <w:rPr>
                <w:rFonts w:ascii="Courier New" w:cs="Courier New" w:eastAsia="Courier New" w:hAnsi="Courier New"/>
                <w:sz w:val="15"/>
                <w:szCs w:val="15"/>
                <w:color w:val="auto"/>
              </w:rPr>
              <w:t>May 1,</w:t>
            </w:r>
          </w:p>
        </w:tc>
        <w:tc>
          <w:tcPr>
            <w:tcW w:w="840" w:type="dxa"/>
            <w:vAlign w:val="bottom"/>
          </w:tcPr>
          <w:p>
            <w:pPr>
              <w:spacing w:after="0"/>
              <w:rPr>
                <w:sz w:val="14"/>
                <w:szCs w:val="14"/>
                <w:color w:val="auto"/>
              </w:rPr>
            </w:pPr>
          </w:p>
        </w:tc>
        <w:tc>
          <w:tcPr>
            <w:tcW w:w="1880" w:type="dxa"/>
            <w:vAlign w:val="bottom"/>
          </w:tcPr>
          <w:p>
            <w:pPr>
              <w:ind w:left="580"/>
              <w:spacing w:after="0"/>
              <w:rPr>
                <w:sz w:val="20"/>
                <w:szCs w:val="20"/>
                <w:color w:val="auto"/>
              </w:rPr>
            </w:pPr>
            <w:r>
              <w:rPr>
                <w:rFonts w:ascii="Courier New" w:cs="Courier New" w:eastAsia="Courier New" w:hAnsi="Courier New"/>
                <w:sz w:val="15"/>
                <w:szCs w:val="15"/>
                <w:color w:val="auto"/>
              </w:rPr>
              <w:t>May 2,</w:t>
            </w:r>
          </w:p>
        </w:tc>
        <w:tc>
          <w:tcPr>
            <w:tcW w:w="1300" w:type="dxa"/>
            <w:vAlign w:val="bottom"/>
          </w:tcPr>
          <w:p>
            <w:pPr>
              <w:spacing w:after="0"/>
              <w:rPr>
                <w:sz w:val="14"/>
                <w:szCs w:val="14"/>
                <w:color w:val="auto"/>
              </w:rPr>
            </w:pPr>
          </w:p>
        </w:tc>
      </w:tr>
      <w:tr>
        <w:trPr>
          <w:trHeight w:val="172"/>
        </w:trPr>
        <w:tc>
          <w:tcPr>
            <w:tcW w:w="3760" w:type="dxa"/>
            <w:vAlign w:val="bottom"/>
          </w:tcPr>
          <w:p>
            <w:pPr>
              <w:spacing w:after="0"/>
              <w:rPr>
                <w:sz w:val="20"/>
                <w:szCs w:val="20"/>
                <w:color w:val="auto"/>
              </w:rPr>
            </w:pPr>
            <w:r>
              <w:rPr>
                <w:rFonts w:ascii="Courier New" w:cs="Courier New" w:eastAsia="Courier New" w:hAnsi="Courier New"/>
                <w:sz w:val="15"/>
                <w:szCs w:val="15"/>
                <w:color w:val="auto"/>
              </w:rPr>
              <w:t>(In thousands)</w:t>
            </w:r>
          </w:p>
        </w:tc>
        <w:tc>
          <w:tcPr>
            <w:tcW w:w="1260" w:type="dxa"/>
            <w:vAlign w:val="bottom"/>
          </w:tcPr>
          <w:p>
            <w:pPr>
              <w:ind w:left="540"/>
              <w:spacing w:after="0"/>
              <w:rPr>
                <w:sz w:val="20"/>
                <w:szCs w:val="20"/>
                <w:color w:val="auto"/>
              </w:rPr>
            </w:pPr>
            <w:r>
              <w:rPr>
                <w:rFonts w:ascii="Courier New" w:cs="Courier New" w:eastAsia="Courier New" w:hAnsi="Courier New"/>
                <w:sz w:val="15"/>
                <w:szCs w:val="15"/>
                <w:color w:val="auto"/>
              </w:rPr>
              <w:t>1994</w:t>
            </w:r>
          </w:p>
        </w:tc>
        <w:tc>
          <w:tcPr>
            <w:tcW w:w="840" w:type="dxa"/>
            <w:vAlign w:val="bottom"/>
          </w:tcPr>
          <w:p>
            <w:pPr>
              <w:spacing w:after="0"/>
              <w:rPr>
                <w:sz w:val="14"/>
                <w:szCs w:val="14"/>
                <w:color w:val="auto"/>
              </w:rPr>
            </w:pPr>
          </w:p>
        </w:tc>
        <w:tc>
          <w:tcPr>
            <w:tcW w:w="1880" w:type="dxa"/>
            <w:vAlign w:val="bottom"/>
          </w:tcPr>
          <w:p>
            <w:pPr>
              <w:ind w:left="580"/>
              <w:spacing w:after="0"/>
              <w:rPr>
                <w:sz w:val="20"/>
                <w:szCs w:val="20"/>
                <w:color w:val="auto"/>
              </w:rPr>
            </w:pPr>
            <w:r>
              <w:rPr>
                <w:rFonts w:ascii="Courier New" w:cs="Courier New" w:eastAsia="Courier New" w:hAnsi="Courier New"/>
                <w:sz w:val="15"/>
                <w:szCs w:val="15"/>
                <w:color w:val="auto"/>
              </w:rPr>
              <w:t>1993</w:t>
            </w:r>
          </w:p>
        </w:tc>
        <w:tc>
          <w:tcPr>
            <w:tcW w:w="1300" w:type="dxa"/>
            <w:vAlign w:val="bottom"/>
          </w:tcPr>
          <w:p>
            <w:pPr>
              <w:spacing w:after="0"/>
              <w:rPr>
                <w:sz w:val="14"/>
                <w:szCs w:val="14"/>
                <w:color w:val="auto"/>
              </w:rPr>
            </w:pPr>
          </w:p>
        </w:tc>
      </w:tr>
      <w:tr>
        <w:trPr>
          <w:trHeight w:val="344"/>
        </w:trPr>
        <w:tc>
          <w:tcPr>
            <w:tcW w:w="37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2"/>
        </w:trPr>
        <w:tc>
          <w:tcPr>
            <w:tcW w:w="37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99,462</w:t>
            </w:r>
          </w:p>
        </w:tc>
        <w:tc>
          <w:tcPr>
            <w:tcW w:w="18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37,014</w:t>
            </w:r>
          </w:p>
        </w:tc>
      </w:tr>
      <w:tr>
        <w:trPr>
          <w:trHeight w:val="172"/>
        </w:trPr>
        <w:tc>
          <w:tcPr>
            <w:tcW w:w="3760" w:type="dxa"/>
            <w:vAlign w:val="bottom"/>
          </w:tcPr>
          <w:p>
            <w:pPr>
              <w:spacing w:after="0"/>
              <w:rPr>
                <w:sz w:val="20"/>
                <w:szCs w:val="20"/>
                <w:color w:val="auto"/>
              </w:rPr>
            </w:pPr>
            <w:r>
              <w:rPr>
                <w:rFonts w:ascii="Courier New" w:cs="Courier New" w:eastAsia="Courier New" w:hAnsi="Courier New"/>
                <w:sz w:val="15"/>
                <w:szCs w:val="15"/>
                <w:color w:val="auto"/>
              </w:rPr>
              <w:t>Adjustments required to reconcile</w:t>
            </w: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3760" w:type="dxa"/>
            <w:vAlign w:val="bottom"/>
          </w:tcPr>
          <w:p>
            <w:pPr>
              <w:spacing w:after="0"/>
              <w:rPr>
                <w:sz w:val="20"/>
                <w:szCs w:val="20"/>
                <w:color w:val="auto"/>
              </w:rPr>
            </w:pPr>
            <w:r>
              <w:rPr>
                <w:rFonts w:ascii="Courier New" w:cs="Courier New" w:eastAsia="Courier New" w:hAnsi="Courier New"/>
                <w:sz w:val="15"/>
                <w:szCs w:val="15"/>
                <w:color w:val="auto"/>
              </w:rPr>
              <w:t>net income to cash flows</w:t>
            </w: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3760" w:type="dxa"/>
            <w:vAlign w:val="bottom"/>
          </w:tcPr>
          <w:p>
            <w:pPr>
              <w:spacing w:after="0"/>
              <w:rPr>
                <w:sz w:val="20"/>
                <w:szCs w:val="20"/>
                <w:color w:val="auto"/>
              </w:rPr>
            </w:pPr>
            <w:r>
              <w:rPr>
                <w:rFonts w:ascii="Courier New" w:cs="Courier New" w:eastAsia="Courier New" w:hAnsi="Courier New"/>
                <w:sz w:val="15"/>
                <w:szCs w:val="15"/>
                <w:color w:val="auto"/>
              </w:rPr>
              <w:t>provided by operations:</w:t>
            </w: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376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260" w:type="dxa"/>
            <w:vAlign w:val="bottom"/>
          </w:tcPr>
          <w:p>
            <w:pPr>
              <w:ind w:left="720"/>
              <w:spacing w:after="0"/>
              <w:rPr>
                <w:sz w:val="20"/>
                <w:szCs w:val="20"/>
                <w:color w:val="auto"/>
              </w:rPr>
            </w:pPr>
            <w:r>
              <w:rPr>
                <w:rFonts w:ascii="Courier New" w:cs="Courier New" w:eastAsia="Courier New" w:hAnsi="Courier New"/>
                <w:sz w:val="15"/>
                <w:szCs w:val="15"/>
                <w:color w:val="auto"/>
                <w:w w:val="96"/>
              </w:rPr>
              <w:t>23,878</w:t>
            </w:r>
          </w:p>
        </w:tc>
        <w:tc>
          <w:tcPr>
            <w:tcW w:w="840" w:type="dxa"/>
            <w:vAlign w:val="bottom"/>
          </w:tcPr>
          <w:p>
            <w:pPr>
              <w:spacing w:after="0"/>
              <w:rPr>
                <w:sz w:val="14"/>
                <w:szCs w:val="14"/>
                <w:color w:val="auto"/>
              </w:rPr>
            </w:pPr>
          </w:p>
        </w:tc>
        <w:tc>
          <w:tcPr>
            <w:tcW w:w="18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18,011</w:t>
            </w:r>
          </w:p>
        </w:tc>
        <w:tc>
          <w:tcPr>
            <w:tcW w:w="1300" w:type="dxa"/>
            <w:vAlign w:val="bottom"/>
          </w:tcPr>
          <w:p>
            <w:pPr>
              <w:spacing w:after="0"/>
              <w:rPr>
                <w:sz w:val="14"/>
                <w:szCs w:val="14"/>
                <w:color w:val="auto"/>
              </w:rPr>
            </w:pPr>
          </w:p>
        </w:tc>
      </w:tr>
      <w:tr>
        <w:trPr>
          <w:trHeight w:val="172"/>
        </w:trPr>
        <w:tc>
          <w:tcPr>
            <w:tcW w:w="376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w:t>
            </w: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3760" w:type="dxa"/>
            <w:vAlign w:val="bottom"/>
          </w:tcPr>
          <w:p>
            <w:pPr>
              <w:ind w:left="280"/>
              <w:spacing w:after="0"/>
              <w:rPr>
                <w:sz w:val="20"/>
                <w:szCs w:val="20"/>
                <w:color w:val="auto"/>
              </w:rPr>
            </w:pPr>
            <w:r>
              <w:rPr>
                <w:rFonts w:ascii="Courier New" w:cs="Courier New" w:eastAsia="Courier New" w:hAnsi="Courier New"/>
                <w:sz w:val="15"/>
                <w:szCs w:val="15"/>
                <w:color w:val="auto"/>
              </w:rPr>
              <w:t>accounting for income taxes</w:t>
            </w:r>
          </w:p>
        </w:tc>
        <w:tc>
          <w:tcPr>
            <w:tcW w:w="1260" w:type="dxa"/>
            <w:vAlign w:val="bottom"/>
          </w:tcPr>
          <w:p>
            <w:pPr>
              <w:ind w:left="640"/>
              <w:spacing w:after="0"/>
              <w:rPr>
                <w:sz w:val="20"/>
                <w:szCs w:val="20"/>
                <w:color w:val="auto"/>
              </w:rPr>
            </w:pPr>
            <w:r>
              <w:rPr>
                <w:rFonts w:ascii="Courier New" w:cs="Courier New" w:eastAsia="Courier New" w:hAnsi="Courier New"/>
                <w:sz w:val="15"/>
                <w:szCs w:val="15"/>
                <w:color w:val="auto"/>
                <w:w w:val="95"/>
              </w:rPr>
              <w:t>(7,000)</w:t>
            </w:r>
          </w:p>
        </w:tc>
        <w:tc>
          <w:tcPr>
            <w:tcW w:w="840" w:type="dxa"/>
            <w:vAlign w:val="bottom"/>
          </w:tcPr>
          <w:p>
            <w:pPr>
              <w:spacing w:after="0"/>
              <w:rPr>
                <w:sz w:val="14"/>
                <w:szCs w:val="14"/>
                <w:color w:val="auto"/>
              </w:rPr>
            </w:pPr>
          </w:p>
        </w:tc>
        <w:tc>
          <w:tcPr>
            <w:tcW w:w="18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r>
      <w:tr>
        <w:trPr>
          <w:trHeight w:val="172"/>
        </w:trPr>
        <w:tc>
          <w:tcPr>
            <w:tcW w:w="3760" w:type="dxa"/>
            <w:vAlign w:val="bottom"/>
          </w:tcPr>
          <w:p>
            <w:pPr>
              <w:spacing w:after="0"/>
              <w:rPr>
                <w:sz w:val="20"/>
                <w:szCs w:val="20"/>
                <w:color w:val="auto"/>
              </w:rPr>
            </w:pPr>
            <w:r>
              <w:rPr>
                <w:rFonts w:ascii="Courier New" w:cs="Courier New" w:eastAsia="Courier New" w:hAnsi="Courier New"/>
                <w:sz w:val="15"/>
                <w:szCs w:val="15"/>
                <w:color w:val="auto"/>
              </w:rPr>
              <w:t>Equity in net loss of joint venture</w:t>
            </w:r>
          </w:p>
        </w:tc>
        <w:tc>
          <w:tcPr>
            <w:tcW w:w="126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Courier New" w:cs="Courier New" w:eastAsia="Courier New" w:hAnsi="Courier New"/>
                <w:sz w:val="15"/>
                <w:szCs w:val="15"/>
                <w:color w:val="auto"/>
              </w:rPr>
              <w:t>2,365</w:t>
            </w:r>
          </w:p>
        </w:tc>
        <w:tc>
          <w:tcPr>
            <w:tcW w:w="1880" w:type="dxa"/>
            <w:vAlign w:val="bottom"/>
          </w:tcPr>
          <w:p>
            <w:pPr>
              <w:spacing w:after="0"/>
              <w:rPr>
                <w:sz w:val="14"/>
                <w:szCs w:val="14"/>
                <w:color w:val="auto"/>
              </w:rPr>
            </w:pPr>
          </w:p>
        </w:tc>
        <w:tc>
          <w:tcPr>
            <w:tcW w:w="1300" w:type="dxa"/>
            <w:vAlign w:val="bottom"/>
          </w:tcPr>
          <w:p>
            <w:pPr>
              <w:jc w:val="right"/>
              <w:ind w:right="1005"/>
              <w:spacing w:after="0"/>
              <w:rPr>
                <w:sz w:val="20"/>
                <w:szCs w:val="20"/>
                <w:color w:val="auto"/>
              </w:rPr>
            </w:pPr>
            <w:r>
              <w:rPr>
                <w:rFonts w:ascii="Courier New" w:cs="Courier New" w:eastAsia="Courier New" w:hAnsi="Courier New"/>
                <w:sz w:val="15"/>
                <w:szCs w:val="15"/>
                <w:color w:val="auto"/>
              </w:rPr>
              <w:t>-</w:t>
            </w:r>
          </w:p>
        </w:tc>
      </w:tr>
      <w:tr>
        <w:trPr>
          <w:trHeight w:val="172"/>
        </w:trPr>
        <w:tc>
          <w:tcPr>
            <w:tcW w:w="3760" w:type="dxa"/>
            <w:vAlign w:val="bottom"/>
          </w:tcPr>
          <w:p>
            <w:pPr>
              <w:spacing w:after="0"/>
              <w:rPr>
                <w:sz w:val="20"/>
                <w:szCs w:val="20"/>
                <w:color w:val="auto"/>
              </w:rPr>
            </w:pPr>
            <w:r>
              <w:rPr>
                <w:rFonts w:ascii="Courier New" w:cs="Courier New" w:eastAsia="Courier New" w:hAnsi="Courier New"/>
                <w:sz w:val="15"/>
                <w:szCs w:val="15"/>
                <w:color w:val="auto"/>
              </w:rPr>
              <w:t>Changes in assets and liabilities:</w:t>
            </w:r>
          </w:p>
        </w:tc>
        <w:tc>
          <w:tcPr>
            <w:tcW w:w="1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3760" w:type="dxa"/>
            <w:vAlign w:val="bottom"/>
          </w:tcPr>
          <w:p>
            <w:pPr>
              <w:spacing w:after="0"/>
              <w:rPr>
                <w:sz w:val="20"/>
                <w:szCs w:val="20"/>
                <w:color w:val="auto"/>
              </w:rPr>
            </w:pPr>
            <w:r>
              <w:rPr>
                <w:rFonts w:ascii="Courier New" w:cs="Courier New" w:eastAsia="Courier New" w:hAnsi="Courier New"/>
                <w:sz w:val="15"/>
                <w:szCs w:val="15"/>
                <w:color w:val="auto"/>
              </w:rPr>
              <w:t>Accounts receivable</w:t>
            </w:r>
          </w:p>
        </w:tc>
        <w:tc>
          <w:tcPr>
            <w:tcW w:w="210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(79,577)</w:t>
            </w:r>
          </w:p>
        </w:tc>
        <w:tc>
          <w:tcPr>
            <w:tcW w:w="188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(13,779)</w:t>
            </w:r>
          </w:p>
        </w:tc>
        <w:tc>
          <w:tcPr>
            <w:tcW w:w="1300" w:type="dxa"/>
            <w:vAlign w:val="bottom"/>
          </w:tcPr>
          <w:p>
            <w:pPr>
              <w:spacing w:after="0"/>
              <w:rPr>
                <w:sz w:val="14"/>
                <w:szCs w:val="14"/>
                <w:color w:val="auto"/>
              </w:rPr>
            </w:pPr>
          </w:p>
        </w:tc>
      </w:tr>
      <w:tr>
        <w:trPr>
          <w:trHeight w:val="172"/>
        </w:trPr>
        <w:tc>
          <w:tcPr>
            <w:tcW w:w="3760" w:type="dxa"/>
            <w:vAlign w:val="bottom"/>
          </w:tcPr>
          <w:p>
            <w:pPr>
              <w:spacing w:after="0"/>
              <w:rPr>
                <w:sz w:val="20"/>
                <w:szCs w:val="20"/>
                <w:color w:val="auto"/>
              </w:rPr>
            </w:pPr>
            <w:r>
              <w:rPr>
                <w:rFonts w:ascii="Courier New" w:cs="Courier New" w:eastAsia="Courier New" w:hAnsi="Courier New"/>
                <w:sz w:val="15"/>
                <w:szCs w:val="15"/>
                <w:color w:val="auto"/>
              </w:rPr>
              <w:t>Inventories</w:t>
            </w:r>
          </w:p>
        </w:tc>
        <w:tc>
          <w:tcPr>
            <w:tcW w:w="1260" w:type="dxa"/>
            <w:vAlign w:val="bottom"/>
          </w:tcPr>
          <w:p>
            <w:pPr>
              <w:ind w:left="540"/>
              <w:spacing w:after="0"/>
              <w:rPr>
                <w:sz w:val="20"/>
                <w:szCs w:val="20"/>
                <w:color w:val="auto"/>
              </w:rPr>
            </w:pPr>
            <w:r>
              <w:rPr>
                <w:rFonts w:ascii="Courier New" w:cs="Courier New" w:eastAsia="Courier New" w:hAnsi="Courier New"/>
                <w:sz w:val="15"/>
                <w:szCs w:val="15"/>
                <w:color w:val="auto"/>
                <w:w w:val="97"/>
              </w:rPr>
              <w:t>(52,813)</w:t>
            </w:r>
          </w:p>
        </w:tc>
        <w:tc>
          <w:tcPr>
            <w:tcW w:w="840" w:type="dxa"/>
            <w:vAlign w:val="bottom"/>
          </w:tcPr>
          <w:p>
            <w:pPr>
              <w:spacing w:after="0"/>
              <w:rPr>
                <w:sz w:val="14"/>
                <w:szCs w:val="14"/>
                <w:color w:val="auto"/>
              </w:rPr>
            </w:pPr>
          </w:p>
        </w:tc>
        <w:tc>
          <w:tcPr>
            <w:tcW w:w="1880" w:type="dxa"/>
            <w:vAlign w:val="bottom"/>
          </w:tcPr>
          <w:p>
            <w:pPr>
              <w:jc w:val="right"/>
              <w:ind w:right="945"/>
              <w:spacing w:after="0"/>
              <w:rPr>
                <w:sz w:val="20"/>
                <w:szCs w:val="20"/>
                <w:color w:val="auto"/>
              </w:rPr>
            </w:pPr>
            <w:r>
              <w:rPr>
                <w:rFonts w:ascii="Courier New" w:cs="Courier New" w:eastAsia="Courier New" w:hAnsi="Courier New"/>
                <w:sz w:val="15"/>
                <w:szCs w:val="15"/>
                <w:color w:val="auto"/>
              </w:rPr>
              <w:t>(16,978)</w:t>
            </w:r>
          </w:p>
        </w:tc>
        <w:tc>
          <w:tcPr>
            <w:tcW w:w="1300" w:type="dxa"/>
            <w:vAlign w:val="bottom"/>
          </w:tcPr>
          <w:p>
            <w:pPr>
              <w:spacing w:after="0"/>
              <w:rPr>
                <w:sz w:val="14"/>
                <w:szCs w:val="14"/>
                <w:color w:val="auto"/>
              </w:rPr>
            </w:pPr>
          </w:p>
        </w:tc>
      </w:tr>
      <w:tr>
        <w:trPr>
          <w:trHeight w:val="172"/>
        </w:trPr>
        <w:tc>
          <w:tcPr>
            <w:tcW w:w="3760" w:type="dxa"/>
            <w:vAlign w:val="bottom"/>
          </w:tcPr>
          <w:p>
            <w:pPr>
              <w:spacing w:after="0"/>
              <w:rPr>
                <w:sz w:val="20"/>
                <w:szCs w:val="20"/>
                <w:color w:val="auto"/>
              </w:rPr>
            </w:pPr>
            <w:r>
              <w:rPr>
                <w:rFonts w:ascii="Courier New" w:cs="Courier New" w:eastAsia="Courier New" w:hAnsi="Courier New"/>
                <w:sz w:val="15"/>
                <w:szCs w:val="15"/>
                <w:color w:val="auto"/>
              </w:rPr>
              <w:t>Other current assets</w:t>
            </w:r>
          </w:p>
        </w:tc>
        <w:tc>
          <w:tcPr>
            <w:tcW w:w="1260" w:type="dxa"/>
            <w:vAlign w:val="bottom"/>
          </w:tcPr>
          <w:p>
            <w:pPr>
              <w:ind w:left="540"/>
              <w:spacing w:after="0"/>
              <w:rPr>
                <w:sz w:val="20"/>
                <w:szCs w:val="20"/>
                <w:color w:val="auto"/>
              </w:rPr>
            </w:pPr>
            <w:r>
              <w:rPr>
                <w:rFonts w:ascii="Courier New" w:cs="Courier New" w:eastAsia="Courier New" w:hAnsi="Courier New"/>
                <w:sz w:val="15"/>
                <w:szCs w:val="15"/>
                <w:color w:val="auto"/>
                <w:w w:val="97"/>
              </w:rPr>
              <w:t>(11,722)</w:t>
            </w:r>
          </w:p>
        </w:tc>
        <w:tc>
          <w:tcPr>
            <w:tcW w:w="840" w:type="dxa"/>
            <w:vAlign w:val="bottom"/>
          </w:tcPr>
          <w:p>
            <w:pPr>
              <w:spacing w:after="0"/>
              <w:rPr>
                <w:sz w:val="14"/>
                <w:szCs w:val="14"/>
                <w:color w:val="auto"/>
              </w:rPr>
            </w:pPr>
          </w:p>
        </w:tc>
        <w:tc>
          <w:tcPr>
            <w:tcW w:w="3180" w:type="dxa"/>
            <w:vAlign w:val="bottom"/>
            <w:gridSpan w:val="2"/>
          </w:tcPr>
          <w:p>
            <w:pPr>
              <w:jc w:val="right"/>
              <w:ind w:right="1005"/>
              <w:spacing w:after="0"/>
              <w:rPr>
                <w:sz w:val="20"/>
                <w:szCs w:val="20"/>
                <w:color w:val="auto"/>
              </w:rPr>
            </w:pPr>
            <w:r>
              <w:rPr>
                <w:rFonts w:ascii="Courier New" w:cs="Courier New" w:eastAsia="Courier New" w:hAnsi="Courier New"/>
                <w:sz w:val="15"/>
                <w:szCs w:val="15"/>
                <w:color w:val="auto"/>
              </w:rPr>
              <w:t>(3,596)</w:t>
            </w:r>
          </w:p>
        </w:tc>
      </w:tr>
      <w:tr>
        <w:trPr>
          <w:trHeight w:val="172"/>
        </w:trPr>
        <w:tc>
          <w:tcPr>
            <w:tcW w:w="376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10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(1,541)</w:t>
            </w:r>
          </w:p>
        </w:tc>
        <w:tc>
          <w:tcPr>
            <w:tcW w:w="1880" w:type="dxa"/>
            <w:vAlign w:val="bottom"/>
          </w:tcPr>
          <w:p>
            <w:pPr>
              <w:ind w:left="1300"/>
              <w:spacing w:after="0"/>
              <w:rPr>
                <w:sz w:val="20"/>
                <w:szCs w:val="20"/>
                <w:color w:val="auto"/>
              </w:rPr>
            </w:pPr>
            <w:r>
              <w:rPr>
                <w:rFonts w:ascii="Courier New" w:cs="Courier New" w:eastAsia="Courier New" w:hAnsi="Courier New"/>
                <w:sz w:val="15"/>
                <w:szCs w:val="15"/>
                <w:color w:val="auto"/>
              </w:rPr>
              <w:t>(761)</w:t>
            </w:r>
          </w:p>
        </w:tc>
        <w:tc>
          <w:tcPr>
            <w:tcW w:w="1300" w:type="dxa"/>
            <w:vAlign w:val="bottom"/>
          </w:tcPr>
          <w:p>
            <w:pPr>
              <w:spacing w:after="0"/>
              <w:rPr>
                <w:sz w:val="14"/>
                <w:szCs w:val="14"/>
                <w:color w:val="auto"/>
              </w:rPr>
            </w:pPr>
          </w:p>
        </w:tc>
      </w:tr>
      <w:tr>
        <w:trPr>
          <w:trHeight w:val="172"/>
        </w:trPr>
        <w:tc>
          <w:tcPr>
            <w:tcW w:w="3760" w:type="dxa"/>
            <w:vAlign w:val="bottom"/>
          </w:tcPr>
          <w:p>
            <w:pPr>
              <w:spacing w:after="0"/>
              <w:rPr>
                <w:sz w:val="20"/>
                <w:szCs w:val="20"/>
                <w:color w:val="auto"/>
              </w:rPr>
            </w:pPr>
            <w:r>
              <w:rPr>
                <w:rFonts w:ascii="Courier New" w:cs="Courier New" w:eastAsia="Courier New" w:hAnsi="Courier New"/>
                <w:sz w:val="15"/>
                <w:szCs w:val="15"/>
                <w:color w:val="auto"/>
              </w:rPr>
              <w:t>Accounts payable and accrued expenses</w:t>
            </w:r>
          </w:p>
        </w:tc>
        <w:tc>
          <w:tcPr>
            <w:tcW w:w="1260" w:type="dxa"/>
            <w:vAlign w:val="bottom"/>
          </w:tcPr>
          <w:p>
            <w:pPr>
              <w:ind w:left="540"/>
              <w:spacing w:after="0"/>
              <w:rPr>
                <w:sz w:val="20"/>
                <w:szCs w:val="20"/>
                <w:color w:val="auto"/>
              </w:rPr>
            </w:pPr>
            <w:r>
              <w:rPr>
                <w:rFonts w:ascii="Courier New" w:cs="Courier New" w:eastAsia="Courier New" w:hAnsi="Courier New"/>
                <w:sz w:val="15"/>
                <w:szCs w:val="15"/>
                <w:color w:val="auto"/>
              </w:rPr>
              <w:t>48,450</w:t>
            </w:r>
          </w:p>
        </w:tc>
        <w:tc>
          <w:tcPr>
            <w:tcW w:w="840" w:type="dxa"/>
            <w:vAlign w:val="bottom"/>
          </w:tcPr>
          <w:p>
            <w:pPr>
              <w:spacing w:after="0"/>
              <w:rPr>
                <w:sz w:val="14"/>
                <w:szCs w:val="14"/>
                <w:color w:val="auto"/>
              </w:rPr>
            </w:pPr>
          </w:p>
        </w:tc>
        <w:tc>
          <w:tcPr>
            <w:tcW w:w="188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1,934</w:t>
            </w:r>
          </w:p>
        </w:tc>
        <w:tc>
          <w:tcPr>
            <w:tcW w:w="1300" w:type="dxa"/>
            <w:vAlign w:val="bottom"/>
          </w:tcPr>
          <w:p>
            <w:pPr>
              <w:spacing w:after="0"/>
              <w:rPr>
                <w:sz w:val="14"/>
                <w:szCs w:val="14"/>
                <w:color w:val="auto"/>
              </w:rPr>
            </w:pPr>
          </w:p>
        </w:tc>
      </w:tr>
      <w:tr>
        <w:trPr>
          <w:trHeight w:val="172"/>
        </w:trPr>
        <w:tc>
          <w:tcPr>
            <w:tcW w:w="3760" w:type="dxa"/>
            <w:vAlign w:val="bottom"/>
          </w:tcPr>
          <w:p>
            <w:pPr>
              <w:spacing w:after="0"/>
              <w:rPr>
                <w:sz w:val="20"/>
                <w:szCs w:val="20"/>
                <w:color w:val="auto"/>
              </w:rPr>
            </w:pPr>
            <w:r>
              <w:rPr>
                <w:rFonts w:ascii="Courier New" w:cs="Courier New" w:eastAsia="Courier New" w:hAnsi="Courier New"/>
                <w:sz w:val="15"/>
                <w:szCs w:val="15"/>
                <w:color w:val="auto"/>
              </w:rPr>
              <w:t>Income taxes payable</w:t>
            </w:r>
          </w:p>
        </w:tc>
        <w:tc>
          <w:tcPr>
            <w:tcW w:w="210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(8,054)</w:t>
            </w:r>
          </w:p>
        </w:tc>
        <w:tc>
          <w:tcPr>
            <w:tcW w:w="1880" w:type="dxa"/>
            <w:vAlign w:val="bottom"/>
          </w:tcPr>
          <w:p>
            <w:pPr>
              <w:ind w:left="1300"/>
              <w:spacing w:after="0"/>
              <w:rPr>
                <w:sz w:val="20"/>
                <w:szCs w:val="20"/>
                <w:color w:val="auto"/>
              </w:rPr>
            </w:pPr>
            <w:r>
              <w:rPr>
                <w:rFonts w:ascii="Courier New" w:cs="Courier New" w:eastAsia="Courier New" w:hAnsi="Courier New"/>
                <w:sz w:val="15"/>
                <w:szCs w:val="15"/>
                <w:color w:val="auto"/>
              </w:rPr>
              <w:t>(77)</w:t>
            </w:r>
          </w:p>
        </w:tc>
        <w:tc>
          <w:tcPr>
            <w:tcW w:w="1300" w:type="dxa"/>
            <w:vAlign w:val="bottom"/>
          </w:tcPr>
          <w:p>
            <w:pPr>
              <w:spacing w:after="0"/>
              <w:rPr>
                <w:sz w:val="14"/>
                <w:szCs w:val="14"/>
                <w:color w:val="auto"/>
              </w:rPr>
            </w:pPr>
          </w:p>
        </w:tc>
      </w:tr>
      <w:tr>
        <w:trPr>
          <w:trHeight w:val="172"/>
        </w:trPr>
        <w:tc>
          <w:tcPr>
            <w:tcW w:w="3760" w:type="dxa"/>
            <w:vAlign w:val="bottom"/>
          </w:tcPr>
          <w:p>
            <w:pPr>
              <w:spacing w:after="0"/>
              <w:rPr>
                <w:sz w:val="20"/>
                <w:szCs w:val="20"/>
                <w:color w:val="auto"/>
              </w:rPr>
            </w:pPr>
            <w:r>
              <w:rPr>
                <w:rFonts w:ascii="Courier New" w:cs="Courier New" w:eastAsia="Courier New" w:hAnsi="Courier New"/>
                <w:sz w:val="15"/>
                <w:szCs w:val="15"/>
                <w:color w:val="auto"/>
              </w:rPr>
              <w:t>Other long-term liabilities</w:t>
            </w:r>
          </w:p>
        </w:tc>
        <w:tc>
          <w:tcPr>
            <w:tcW w:w="1260" w:type="dxa"/>
            <w:vAlign w:val="bottom"/>
          </w:tcPr>
          <w:p>
            <w:pPr>
              <w:spacing w:after="0"/>
              <w:rPr>
                <w:sz w:val="14"/>
                <w:szCs w:val="14"/>
                <w:color w:val="auto"/>
              </w:rPr>
            </w:pPr>
          </w:p>
        </w:tc>
        <w:tc>
          <w:tcPr>
            <w:tcW w:w="8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4,827</w:t>
            </w:r>
          </w:p>
        </w:tc>
        <w:tc>
          <w:tcPr>
            <w:tcW w:w="18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1,023</w:t>
            </w:r>
          </w:p>
        </w:tc>
      </w:tr>
    </w:tbl>
    <w:p>
      <w:pPr>
        <w:sectPr>
          <w:pgSz w:w="11900" w:h="16851" w:orient="portrait"/>
          <w:cols w:equalWidth="0" w:num="1">
            <w:col w:w="10540"/>
          </w:cols>
          <w:pgMar w:left="240" w:top="140" w:right="1119" w:bottom="0" w:gutter="0" w:footer="0" w:header="0"/>
        </w:sectPr>
      </w:pPr>
    </w:p>
    <w:bookmarkStart w:id="2" w:name="page3"/>
    <w:bookmarkEnd w:id="2"/>
    <w:p>
      <w:pPr>
        <w:spacing w:after="0" w:line="1" w:lineRule="exact"/>
        <w:rPr>
          <w:sz w:val="20"/>
          <w:szCs w:val="20"/>
          <w:color w:val="auto"/>
        </w:rPr>
      </w:pPr>
    </w:p>
    <w:tbl>
      <w:tblPr>
        <w:tblLayout w:type="fixed"/>
        <w:tblInd w:w="708" w:type="dxa"/>
        <w:tblCellMar>
          <w:top w:w="0" w:type="dxa"/>
          <w:left w:w="0" w:type="dxa"/>
          <w:bottom w:w="0" w:type="dxa"/>
          <w:right w:w="0" w:type="dxa"/>
        </w:tblCellMar>
      </w:tblPr>
      <w:tr>
        <w:trPr>
          <w:trHeight w:val="170"/>
        </w:trPr>
        <w:tc>
          <w:tcPr>
            <w:tcW w:w="4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(81,187)</w:t>
            </w:r>
          </w:p>
        </w:tc>
        <w:tc>
          <w:tcPr>
            <w:tcW w:w="1080" w:type="dxa"/>
            <w:vAlign w:val="bottom"/>
          </w:tcPr>
          <w:p>
            <w:pPr>
              <w:spacing w:after="0"/>
              <w:rPr>
                <w:sz w:val="14"/>
                <w:szCs w:val="14"/>
                <w:color w:val="auto"/>
              </w:rPr>
            </w:pPr>
          </w:p>
        </w:tc>
        <w:tc>
          <w:tcPr>
            <w:tcW w:w="2200" w:type="dxa"/>
            <w:vAlign w:val="bottom"/>
          </w:tcPr>
          <w:p>
            <w:pPr>
              <w:ind w:left="1480"/>
              <w:spacing w:after="0"/>
              <w:rPr>
                <w:sz w:val="20"/>
                <w:szCs w:val="20"/>
                <w:color w:val="auto"/>
              </w:rPr>
            </w:pPr>
            <w:r>
              <w:rPr>
                <w:rFonts w:ascii="Courier New" w:cs="Courier New" w:eastAsia="Courier New" w:hAnsi="Courier New"/>
                <w:sz w:val="15"/>
                <w:szCs w:val="15"/>
                <w:color w:val="auto"/>
                <w:w w:val="97"/>
              </w:rPr>
              <w:t>(14,223)</w:t>
            </w:r>
          </w:p>
        </w:tc>
      </w:tr>
      <w:tr>
        <w:trPr>
          <w:trHeight w:val="172"/>
        </w:trPr>
        <w:tc>
          <w:tcPr>
            <w:tcW w:w="4120" w:type="dxa"/>
            <w:vAlign w:val="bottom"/>
          </w:tcPr>
          <w:p>
            <w:pPr>
              <w:spacing w:after="0"/>
              <w:rPr>
                <w:sz w:val="20"/>
                <w:szCs w:val="20"/>
                <w:color w:val="auto"/>
              </w:rPr>
            </w:pPr>
            <w:r>
              <w:rPr>
                <w:rFonts w:ascii="Courier New" w:cs="Courier New" w:eastAsia="Courier New" w:hAnsi="Courier New"/>
                <w:sz w:val="15"/>
                <w:szCs w:val="15"/>
                <w:color w:val="auto"/>
              </w:rPr>
              <w:t>Cash provided by operations</w:t>
            </w:r>
          </w:p>
        </w:tc>
        <w:tc>
          <w:tcPr>
            <w:tcW w:w="86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18,275</w:t>
            </w:r>
          </w:p>
        </w:tc>
        <w:tc>
          <w:tcPr>
            <w:tcW w:w="1080" w:type="dxa"/>
            <w:vAlign w:val="bottom"/>
          </w:tcPr>
          <w:p>
            <w:pPr>
              <w:spacing w:after="0"/>
              <w:rPr>
                <w:sz w:val="14"/>
                <w:szCs w:val="14"/>
                <w:color w:val="auto"/>
              </w:rPr>
            </w:pPr>
          </w:p>
        </w:tc>
        <w:tc>
          <w:tcPr>
            <w:tcW w:w="2200" w:type="dxa"/>
            <w:vAlign w:val="bottom"/>
          </w:tcPr>
          <w:p>
            <w:pPr>
              <w:ind w:left="320"/>
              <w:spacing w:after="0"/>
              <w:rPr>
                <w:sz w:val="20"/>
                <w:szCs w:val="20"/>
                <w:color w:val="auto"/>
              </w:rPr>
            </w:pPr>
            <w:r>
              <w:rPr>
                <w:rFonts w:ascii="Courier New" w:cs="Courier New" w:eastAsia="Courier New" w:hAnsi="Courier New"/>
                <w:sz w:val="15"/>
                <w:szCs w:val="15"/>
                <w:color w:val="auto"/>
              </w:rPr>
              <w:t>22,791</w:t>
            </w:r>
          </w:p>
        </w:tc>
      </w:tr>
      <w:tr>
        <w:trPr>
          <w:trHeight w:val="344"/>
        </w:trPr>
        <w:tc>
          <w:tcPr>
            <w:tcW w:w="41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72"/>
        </w:trPr>
        <w:tc>
          <w:tcPr>
            <w:tcW w:w="412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9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(59,592)</w:t>
            </w:r>
          </w:p>
        </w:tc>
        <w:tc>
          <w:tcPr>
            <w:tcW w:w="328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(33,912)</w:t>
            </w:r>
          </w:p>
        </w:tc>
      </w:tr>
      <w:tr>
        <w:trPr>
          <w:trHeight w:val="172"/>
        </w:trPr>
        <w:tc>
          <w:tcPr>
            <w:tcW w:w="4120" w:type="dxa"/>
            <w:vAlign w:val="bottom"/>
          </w:tcPr>
          <w:p>
            <w:pPr>
              <w:ind w:left="100"/>
              <w:spacing w:after="0"/>
              <w:rPr>
                <w:sz w:val="20"/>
                <w:szCs w:val="20"/>
                <w:color w:val="auto"/>
              </w:rPr>
            </w:pPr>
            <w:r>
              <w:rPr>
                <w:rFonts w:ascii="Courier New" w:cs="Courier New" w:eastAsia="Courier New" w:hAnsi="Courier New"/>
                <w:sz w:val="15"/>
                <w:szCs w:val="15"/>
                <w:color w:val="auto"/>
              </w:rPr>
              <w:t>Disposition of property, plant  &amp; equipment</w:t>
            </w:r>
          </w:p>
        </w:tc>
        <w:tc>
          <w:tcPr>
            <w:tcW w:w="19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7,365</w:t>
            </w:r>
          </w:p>
        </w:tc>
        <w:tc>
          <w:tcPr>
            <w:tcW w:w="3280" w:type="dxa"/>
            <w:vAlign w:val="bottom"/>
            <w:gridSpan w:val="2"/>
          </w:tcPr>
          <w:p>
            <w:pPr>
              <w:ind w:left="860"/>
              <w:spacing w:after="0"/>
              <w:rPr>
                <w:sz w:val="20"/>
                <w:szCs w:val="20"/>
                <w:color w:val="auto"/>
              </w:rPr>
            </w:pPr>
            <w:r>
              <w:rPr>
                <w:rFonts w:ascii="Courier New" w:cs="Courier New" w:eastAsia="Courier New" w:hAnsi="Courier New"/>
                <w:sz w:val="15"/>
                <w:szCs w:val="15"/>
                <w:color w:val="auto"/>
              </w:rPr>
              <w:t>1,742</w:t>
            </w:r>
          </w:p>
        </w:tc>
      </w:tr>
      <w:tr>
        <w:trPr>
          <w:trHeight w:val="172"/>
        </w:trPr>
        <w:tc>
          <w:tcPr>
            <w:tcW w:w="4120" w:type="dxa"/>
            <w:vAlign w:val="bottom"/>
          </w:tcPr>
          <w:p>
            <w:pPr>
              <w:spacing w:after="0"/>
              <w:rPr>
                <w:sz w:val="20"/>
                <w:szCs w:val="20"/>
                <w:color w:val="auto"/>
              </w:rPr>
            </w:pPr>
            <w:r>
              <w:rPr>
                <w:rFonts w:ascii="Courier New" w:cs="Courier New" w:eastAsia="Courier New" w:hAnsi="Courier New"/>
                <w:sz w:val="15"/>
                <w:szCs w:val="15"/>
                <w:color w:val="auto"/>
              </w:rPr>
              <w:t>Proceeds from short-term investments</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69,917</w:t>
            </w:r>
          </w:p>
        </w:tc>
        <w:tc>
          <w:tcPr>
            <w:tcW w:w="106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Courier New" w:cs="Courier New" w:eastAsia="Courier New" w:hAnsi="Courier New"/>
                <w:sz w:val="15"/>
                <w:szCs w:val="15"/>
                <w:color w:val="auto"/>
              </w:rPr>
              <w:t>56,076</w:t>
            </w:r>
          </w:p>
        </w:tc>
        <w:tc>
          <w:tcPr>
            <w:tcW w:w="2200" w:type="dxa"/>
            <w:vAlign w:val="bottom"/>
          </w:tcPr>
          <w:p>
            <w:pPr>
              <w:spacing w:after="0"/>
              <w:rPr>
                <w:sz w:val="14"/>
                <w:szCs w:val="14"/>
                <w:color w:val="auto"/>
              </w:rPr>
            </w:pPr>
          </w:p>
        </w:tc>
      </w:tr>
      <w:tr>
        <w:trPr>
          <w:trHeight w:val="172"/>
        </w:trPr>
        <w:tc>
          <w:tcPr>
            <w:tcW w:w="4120" w:type="dxa"/>
            <w:vAlign w:val="bottom"/>
          </w:tcPr>
          <w:p>
            <w:pPr>
              <w:spacing w:after="0"/>
              <w:rPr>
                <w:sz w:val="20"/>
                <w:szCs w:val="20"/>
                <w:color w:val="auto"/>
              </w:rPr>
            </w:pPr>
            <w:r>
              <w:rPr>
                <w:rFonts w:ascii="Courier New" w:cs="Courier New" w:eastAsia="Courier New" w:hAnsi="Courier New"/>
                <w:sz w:val="15"/>
                <w:szCs w:val="15"/>
                <w:color w:val="auto"/>
              </w:rPr>
              <w:t>Purchases of short-term investments</w:t>
            </w:r>
          </w:p>
        </w:tc>
        <w:tc>
          <w:tcPr>
            <w:tcW w:w="86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(155,851)</w:t>
            </w:r>
          </w:p>
        </w:tc>
        <w:tc>
          <w:tcPr>
            <w:tcW w:w="1080" w:type="dxa"/>
            <w:vAlign w:val="bottom"/>
          </w:tcPr>
          <w:p>
            <w:pPr>
              <w:spacing w:after="0"/>
              <w:rPr>
                <w:sz w:val="14"/>
                <w:szCs w:val="14"/>
                <w:color w:val="auto"/>
              </w:rPr>
            </w:pPr>
          </w:p>
        </w:tc>
        <w:tc>
          <w:tcPr>
            <w:tcW w:w="2200" w:type="dxa"/>
            <w:vAlign w:val="bottom"/>
          </w:tcPr>
          <w:p>
            <w:pPr>
              <w:ind w:left="760"/>
              <w:spacing w:after="0"/>
              <w:rPr>
                <w:sz w:val="20"/>
                <w:szCs w:val="20"/>
                <w:color w:val="auto"/>
              </w:rPr>
            </w:pPr>
            <w:r>
              <w:rPr>
                <w:rFonts w:ascii="Courier New" w:cs="Courier New" w:eastAsia="Courier New" w:hAnsi="Courier New"/>
                <w:sz w:val="15"/>
                <w:szCs w:val="15"/>
                <w:color w:val="auto"/>
              </w:rPr>
              <w:t>(109,469)</w:t>
            </w:r>
          </w:p>
        </w:tc>
      </w:tr>
      <w:tr>
        <w:trPr>
          <w:trHeight w:val="172"/>
        </w:trPr>
        <w:tc>
          <w:tcPr>
            <w:tcW w:w="4120" w:type="dxa"/>
            <w:vAlign w:val="bottom"/>
          </w:tcPr>
          <w:p>
            <w:pPr>
              <w:spacing w:after="0"/>
              <w:rPr>
                <w:sz w:val="20"/>
                <w:szCs w:val="20"/>
                <w:color w:val="auto"/>
              </w:rPr>
            </w:pPr>
            <w:r>
              <w:rPr>
                <w:rFonts w:ascii="Courier New" w:cs="Courier New" w:eastAsia="Courier New" w:hAnsi="Courier New"/>
                <w:sz w:val="15"/>
                <w:szCs w:val="15"/>
                <w:color w:val="auto"/>
              </w:rPr>
              <w:t>Cash used for investing</w:t>
            </w:r>
          </w:p>
        </w:tc>
        <w:tc>
          <w:tcPr>
            <w:tcW w:w="19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(138,161)</w:t>
            </w:r>
          </w:p>
        </w:tc>
        <w:tc>
          <w:tcPr>
            <w:tcW w:w="1080" w:type="dxa"/>
            <w:vAlign w:val="bottom"/>
          </w:tcPr>
          <w:p>
            <w:pPr>
              <w:spacing w:after="0"/>
              <w:rPr>
                <w:sz w:val="14"/>
                <w:szCs w:val="14"/>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5"/>
                <w:szCs w:val="15"/>
                <w:color w:val="auto"/>
              </w:rPr>
              <w:t>(85,563)</w:t>
            </w:r>
          </w:p>
        </w:tc>
      </w:tr>
      <w:tr>
        <w:trPr>
          <w:trHeight w:val="344"/>
        </w:trPr>
        <w:tc>
          <w:tcPr>
            <w:tcW w:w="412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172"/>
        </w:trPr>
        <w:tc>
          <w:tcPr>
            <w:tcW w:w="4120" w:type="dxa"/>
            <w:vAlign w:val="bottom"/>
          </w:tcPr>
          <w:p>
            <w:pPr>
              <w:spacing w:after="0"/>
              <w:rPr>
                <w:sz w:val="20"/>
                <w:szCs w:val="20"/>
                <w:color w:val="auto"/>
              </w:rPr>
            </w:pPr>
            <w:r>
              <w:rPr>
                <w:rFonts w:ascii="Courier New" w:cs="Courier New" w:eastAsia="Courier New" w:hAnsi="Courier New"/>
                <w:sz w:val="15"/>
                <w:szCs w:val="15"/>
                <w:color w:val="auto"/>
              </w:rPr>
              <w:t>Short-term borrowing (repayments), net</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(6,487)</w:t>
            </w:r>
          </w:p>
        </w:tc>
        <w:tc>
          <w:tcPr>
            <w:tcW w:w="1060" w:type="dxa"/>
            <w:vAlign w:val="bottom"/>
          </w:tcPr>
          <w:p>
            <w:pPr>
              <w:spacing w:after="0"/>
              <w:rPr>
                <w:sz w:val="14"/>
                <w:szCs w:val="14"/>
                <w:color w:val="auto"/>
              </w:rPr>
            </w:pPr>
          </w:p>
        </w:tc>
        <w:tc>
          <w:tcPr>
            <w:tcW w:w="1080" w:type="dxa"/>
            <w:vAlign w:val="bottom"/>
          </w:tcPr>
          <w:p>
            <w:pPr>
              <w:ind w:left="400"/>
              <w:spacing w:after="0"/>
              <w:rPr>
                <w:sz w:val="20"/>
                <w:szCs w:val="20"/>
                <w:color w:val="auto"/>
              </w:rPr>
            </w:pPr>
            <w:r>
              <w:rPr>
                <w:rFonts w:ascii="Courier New" w:cs="Courier New" w:eastAsia="Courier New" w:hAnsi="Courier New"/>
                <w:sz w:val="15"/>
                <w:szCs w:val="15"/>
                <w:color w:val="auto"/>
              </w:rPr>
              <w:t>4,677</w:t>
            </w:r>
          </w:p>
        </w:tc>
        <w:tc>
          <w:tcPr>
            <w:tcW w:w="2200" w:type="dxa"/>
            <w:vAlign w:val="bottom"/>
          </w:tcPr>
          <w:p>
            <w:pPr>
              <w:spacing w:after="0"/>
              <w:rPr>
                <w:sz w:val="14"/>
                <w:szCs w:val="14"/>
                <w:color w:val="auto"/>
              </w:rPr>
            </w:pPr>
          </w:p>
        </w:tc>
      </w:tr>
      <w:tr>
        <w:trPr>
          <w:trHeight w:val="172"/>
        </w:trPr>
        <w:tc>
          <w:tcPr>
            <w:tcW w:w="4120" w:type="dxa"/>
            <w:vAlign w:val="bottom"/>
          </w:tcPr>
          <w:p>
            <w:pPr>
              <w:ind w:left="100"/>
              <w:spacing w:after="0"/>
              <w:rPr>
                <w:sz w:val="20"/>
                <w:szCs w:val="20"/>
                <w:color w:val="auto"/>
              </w:rPr>
            </w:pPr>
            <w:r>
              <w:rPr>
                <w:rFonts w:ascii="Courier New" w:cs="Courier New" w:eastAsia="Courier New" w:hAnsi="Courier New"/>
                <w:sz w:val="15"/>
                <w:szCs w:val="15"/>
                <w:color w:val="auto"/>
              </w:rPr>
              <w:t>Long-term debt repayments</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(2,850)</w:t>
            </w:r>
          </w:p>
        </w:tc>
        <w:tc>
          <w:tcPr>
            <w:tcW w:w="1060" w:type="dxa"/>
            <w:vAlign w:val="bottom"/>
          </w:tcPr>
          <w:p>
            <w:pPr>
              <w:spacing w:after="0"/>
              <w:rPr>
                <w:sz w:val="14"/>
                <w:szCs w:val="14"/>
                <w:color w:val="auto"/>
              </w:rPr>
            </w:pPr>
          </w:p>
        </w:tc>
        <w:tc>
          <w:tcPr>
            <w:tcW w:w="1080" w:type="dxa"/>
            <w:vAlign w:val="bottom"/>
          </w:tcPr>
          <w:p>
            <w:pPr>
              <w:ind w:left="400"/>
              <w:spacing w:after="0"/>
              <w:rPr>
                <w:sz w:val="20"/>
                <w:szCs w:val="20"/>
                <w:color w:val="auto"/>
              </w:rPr>
            </w:pPr>
            <w:r>
              <w:rPr>
                <w:rFonts w:ascii="Courier New" w:cs="Courier New" w:eastAsia="Courier New" w:hAnsi="Courier New"/>
                <w:sz w:val="15"/>
                <w:szCs w:val="15"/>
                <w:color w:val="auto"/>
              </w:rPr>
              <w:t>(2,848)</w:t>
            </w:r>
          </w:p>
        </w:tc>
        <w:tc>
          <w:tcPr>
            <w:tcW w:w="2200" w:type="dxa"/>
            <w:vAlign w:val="bottom"/>
          </w:tcPr>
          <w:p>
            <w:pPr>
              <w:spacing w:after="0"/>
              <w:rPr>
                <w:sz w:val="14"/>
                <w:szCs w:val="14"/>
                <w:color w:val="auto"/>
              </w:rPr>
            </w:pPr>
          </w:p>
        </w:tc>
      </w:tr>
      <w:tr>
        <w:trPr>
          <w:trHeight w:val="172"/>
        </w:trPr>
        <w:tc>
          <w:tcPr>
            <w:tcW w:w="4120" w:type="dxa"/>
            <w:vAlign w:val="bottom"/>
          </w:tcPr>
          <w:p>
            <w:pPr>
              <w:ind w:left="100"/>
              <w:spacing w:after="0"/>
              <w:rPr>
                <w:sz w:val="20"/>
                <w:szCs w:val="20"/>
                <w:color w:val="auto"/>
              </w:rPr>
            </w:pPr>
            <w:r>
              <w:rPr>
                <w:rFonts w:ascii="Courier New" w:cs="Courier New" w:eastAsia="Courier New" w:hAnsi="Courier New"/>
                <w:sz w:val="15"/>
                <w:szCs w:val="15"/>
                <w:color w:val="auto"/>
              </w:rPr>
              <w:t>Sales (repurchases) of common stock, net</w:t>
            </w:r>
          </w:p>
        </w:tc>
        <w:tc>
          <w:tcPr>
            <w:tcW w:w="860" w:type="dxa"/>
            <w:vAlign w:val="bottom"/>
          </w:tcPr>
          <w:p>
            <w:pPr>
              <w:spacing w:after="0"/>
              <w:rPr>
                <w:sz w:val="14"/>
                <w:szCs w:val="14"/>
                <w:color w:val="auto"/>
              </w:rPr>
            </w:pPr>
          </w:p>
        </w:tc>
        <w:tc>
          <w:tcPr>
            <w:tcW w:w="1060" w:type="dxa"/>
            <w:vAlign w:val="bottom"/>
          </w:tcPr>
          <w:p>
            <w:pPr>
              <w:ind w:left="400"/>
              <w:spacing w:after="0"/>
              <w:rPr>
                <w:sz w:val="20"/>
                <w:szCs w:val="20"/>
                <w:color w:val="auto"/>
              </w:rPr>
            </w:pPr>
            <w:r>
              <w:rPr>
                <w:rFonts w:ascii="Courier New" w:cs="Courier New" w:eastAsia="Courier New" w:hAnsi="Courier New"/>
                <w:sz w:val="15"/>
                <w:szCs w:val="15"/>
                <w:color w:val="auto"/>
              </w:rPr>
              <w:t>106,321</w:t>
            </w:r>
          </w:p>
        </w:tc>
        <w:tc>
          <w:tcPr>
            <w:tcW w:w="1080" w:type="dxa"/>
            <w:vAlign w:val="bottom"/>
          </w:tcPr>
          <w:p>
            <w:pPr>
              <w:spacing w:after="0"/>
              <w:rPr>
                <w:sz w:val="14"/>
                <w:szCs w:val="14"/>
                <w:color w:val="auto"/>
              </w:rPr>
            </w:pPr>
          </w:p>
        </w:tc>
        <w:tc>
          <w:tcPr>
            <w:tcW w:w="2200" w:type="dxa"/>
            <w:vAlign w:val="bottom"/>
          </w:tcPr>
          <w:p>
            <w:pPr>
              <w:ind w:left="760"/>
              <w:spacing w:after="0"/>
              <w:rPr>
                <w:sz w:val="20"/>
                <w:szCs w:val="20"/>
                <w:color w:val="auto"/>
              </w:rPr>
            </w:pPr>
            <w:r>
              <w:rPr>
                <w:rFonts w:ascii="Courier New" w:cs="Courier New" w:eastAsia="Courier New" w:hAnsi="Courier New"/>
                <w:sz w:val="15"/>
                <w:szCs w:val="15"/>
                <w:color w:val="auto"/>
              </w:rPr>
              <w:t>(256)</w:t>
            </w:r>
          </w:p>
        </w:tc>
      </w:tr>
      <w:tr>
        <w:trPr>
          <w:trHeight w:val="172"/>
        </w:trPr>
        <w:tc>
          <w:tcPr>
            <w:tcW w:w="4120" w:type="dxa"/>
            <w:vAlign w:val="bottom"/>
          </w:tcPr>
          <w:p>
            <w:pPr>
              <w:spacing w:after="0"/>
              <w:rPr>
                <w:sz w:val="20"/>
                <w:szCs w:val="20"/>
                <w:color w:val="auto"/>
              </w:rPr>
            </w:pPr>
            <w:r>
              <w:rPr>
                <w:rFonts w:ascii="Courier New" w:cs="Courier New" w:eastAsia="Courier New" w:hAnsi="Courier New"/>
                <w:sz w:val="15"/>
                <w:szCs w:val="15"/>
                <w:color w:val="auto"/>
              </w:rPr>
              <w:t>Cash provided by financing</w:t>
            </w:r>
          </w:p>
        </w:tc>
        <w:tc>
          <w:tcPr>
            <w:tcW w:w="86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96,984</w:t>
            </w:r>
          </w:p>
        </w:tc>
        <w:tc>
          <w:tcPr>
            <w:tcW w:w="1080" w:type="dxa"/>
            <w:vAlign w:val="bottom"/>
          </w:tcPr>
          <w:p>
            <w:pPr>
              <w:spacing w:after="0"/>
              <w:rPr>
                <w:sz w:val="14"/>
                <w:szCs w:val="14"/>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5"/>
                <w:szCs w:val="15"/>
                <w:color w:val="auto"/>
              </w:rPr>
              <w:t>1,573</w:t>
            </w:r>
          </w:p>
        </w:tc>
      </w:tr>
      <w:tr>
        <w:trPr>
          <w:trHeight w:val="344"/>
        </w:trPr>
        <w:tc>
          <w:tcPr>
            <w:tcW w:w="412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w:t>
            </w:r>
          </w:p>
        </w:tc>
        <w:tc>
          <w:tcPr>
            <w:tcW w:w="86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(89)</w:t>
            </w:r>
          </w:p>
        </w:tc>
        <w:tc>
          <w:tcPr>
            <w:tcW w:w="1080" w:type="dxa"/>
            <w:vAlign w:val="bottom"/>
          </w:tcPr>
          <w:p>
            <w:pPr>
              <w:spacing w:after="0"/>
              <w:rPr>
                <w:sz w:val="24"/>
                <w:szCs w:val="24"/>
                <w:color w:val="auto"/>
              </w:rPr>
            </w:pPr>
          </w:p>
        </w:tc>
        <w:tc>
          <w:tcPr>
            <w:tcW w:w="2200" w:type="dxa"/>
            <w:vAlign w:val="bottom"/>
          </w:tcPr>
          <w:p>
            <w:pPr>
              <w:ind w:left="40"/>
              <w:spacing w:after="0"/>
              <w:rPr>
                <w:sz w:val="20"/>
                <w:szCs w:val="20"/>
                <w:color w:val="auto"/>
              </w:rPr>
            </w:pPr>
            <w:r>
              <w:rPr>
                <w:rFonts w:ascii="Courier New" w:cs="Courier New" w:eastAsia="Courier New" w:hAnsi="Courier New"/>
                <w:sz w:val="15"/>
                <w:szCs w:val="15"/>
                <w:color w:val="auto"/>
              </w:rPr>
              <w:t>(215)</w:t>
            </w:r>
          </w:p>
        </w:tc>
      </w:tr>
      <w:tr>
        <w:trPr>
          <w:trHeight w:val="172"/>
        </w:trPr>
        <w:tc>
          <w:tcPr>
            <w:tcW w:w="4120" w:type="dxa"/>
            <w:vAlign w:val="bottom"/>
          </w:tcPr>
          <w:p>
            <w:pPr>
              <w:spacing w:after="0"/>
              <w:rPr>
                <w:sz w:val="20"/>
                <w:szCs w:val="20"/>
                <w:color w:val="auto"/>
              </w:rPr>
            </w:pPr>
            <w:r>
              <w:rPr>
                <w:rFonts w:ascii="Courier New" w:cs="Courier New" w:eastAsia="Courier New" w:hAnsi="Courier New"/>
                <w:sz w:val="15"/>
                <w:szCs w:val="15"/>
                <w:color w:val="auto"/>
              </w:rPr>
              <w:t>Decrease in cash and cash equivalents</w:t>
            </w:r>
          </w:p>
        </w:tc>
        <w:tc>
          <w:tcPr>
            <w:tcW w:w="860" w:type="dxa"/>
            <w:vAlign w:val="bottom"/>
          </w:tcPr>
          <w:p>
            <w:pPr>
              <w:spacing w:after="0"/>
              <w:rPr>
                <w:sz w:val="14"/>
                <w:szCs w:val="1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(22,991)</w:t>
            </w:r>
          </w:p>
        </w:tc>
        <w:tc>
          <w:tcPr>
            <w:tcW w:w="1080" w:type="dxa"/>
            <w:vAlign w:val="bottom"/>
          </w:tcPr>
          <w:p>
            <w:pPr>
              <w:spacing w:after="0"/>
              <w:rPr>
                <w:sz w:val="14"/>
                <w:szCs w:val="14"/>
                <w:color w:val="auto"/>
              </w:rPr>
            </w:pPr>
          </w:p>
        </w:tc>
        <w:tc>
          <w:tcPr>
            <w:tcW w:w="2200" w:type="dxa"/>
            <w:vAlign w:val="bottom"/>
          </w:tcPr>
          <w:p>
            <w:pPr>
              <w:ind w:left="840"/>
              <w:spacing w:after="0"/>
              <w:rPr>
                <w:sz w:val="20"/>
                <w:szCs w:val="20"/>
                <w:color w:val="auto"/>
              </w:rPr>
            </w:pPr>
            <w:r>
              <w:rPr>
                <w:rFonts w:ascii="Courier New" w:cs="Courier New" w:eastAsia="Courier New" w:hAnsi="Courier New"/>
                <w:sz w:val="15"/>
                <w:szCs w:val="15"/>
                <w:color w:val="auto"/>
              </w:rPr>
              <w:t>(61,414)</w:t>
            </w:r>
          </w:p>
        </w:tc>
      </w:tr>
      <w:tr>
        <w:trPr>
          <w:trHeight w:val="172"/>
        </w:trPr>
        <w:tc>
          <w:tcPr>
            <w:tcW w:w="412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72"/>
        </w:trPr>
        <w:tc>
          <w:tcPr>
            <w:tcW w:w="4120" w:type="dxa"/>
            <w:vAlign w:val="bottom"/>
          </w:tcPr>
          <w:p>
            <w:pPr>
              <w:spacing w:after="0"/>
              <w:rPr>
                <w:sz w:val="20"/>
                <w:szCs w:val="20"/>
                <w:color w:val="auto"/>
              </w:rPr>
            </w:pPr>
            <w:r>
              <w:rPr>
                <w:rFonts w:ascii="Courier New" w:cs="Courier New" w:eastAsia="Courier New" w:hAnsi="Courier New"/>
                <w:sz w:val="15"/>
                <w:szCs w:val="15"/>
                <w:color w:val="auto"/>
              </w:rPr>
              <w:t>at beginning of period</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119,597</w:t>
            </w:r>
          </w:p>
        </w:tc>
        <w:tc>
          <w:tcPr>
            <w:tcW w:w="1060" w:type="dxa"/>
            <w:vAlign w:val="bottom"/>
          </w:tcPr>
          <w:p>
            <w:pPr>
              <w:spacing w:after="0"/>
              <w:rPr>
                <w:sz w:val="14"/>
                <w:szCs w:val="14"/>
                <w:color w:val="auto"/>
              </w:rPr>
            </w:pPr>
          </w:p>
        </w:tc>
        <w:tc>
          <w:tcPr>
            <w:tcW w:w="1080" w:type="dxa"/>
            <w:vAlign w:val="bottom"/>
          </w:tcPr>
          <w:p>
            <w:pPr>
              <w:ind w:left="400"/>
              <w:spacing w:after="0"/>
              <w:rPr>
                <w:sz w:val="20"/>
                <w:szCs w:val="20"/>
                <w:color w:val="auto"/>
              </w:rPr>
            </w:pPr>
            <w:r>
              <w:rPr>
                <w:rFonts w:ascii="Courier New" w:cs="Courier New" w:eastAsia="Courier New" w:hAnsi="Courier New"/>
                <w:sz w:val="15"/>
                <w:szCs w:val="15"/>
                <w:color w:val="auto"/>
              </w:rPr>
              <w:t>159,453</w:t>
            </w:r>
          </w:p>
        </w:tc>
        <w:tc>
          <w:tcPr>
            <w:tcW w:w="2200" w:type="dxa"/>
            <w:vAlign w:val="bottom"/>
          </w:tcPr>
          <w:p>
            <w:pPr>
              <w:spacing w:after="0"/>
              <w:rPr>
                <w:sz w:val="14"/>
                <w:szCs w:val="14"/>
                <w:color w:val="auto"/>
              </w:rPr>
            </w:pPr>
          </w:p>
        </w:tc>
      </w:tr>
      <w:tr>
        <w:trPr>
          <w:trHeight w:val="172"/>
        </w:trPr>
        <w:tc>
          <w:tcPr>
            <w:tcW w:w="412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0" w:type="dxa"/>
            <w:vAlign w:val="bottom"/>
          </w:tcPr>
          <w:p>
            <w:pPr>
              <w:spacing w:after="0"/>
              <w:rPr>
                <w:sz w:val="14"/>
                <w:szCs w:val="14"/>
                <w:color w:val="auto"/>
              </w:rPr>
            </w:pPr>
          </w:p>
        </w:tc>
      </w:tr>
      <w:tr>
        <w:trPr>
          <w:trHeight w:val="172"/>
        </w:trPr>
        <w:tc>
          <w:tcPr>
            <w:tcW w:w="4120" w:type="dxa"/>
            <w:vAlign w:val="bottom"/>
          </w:tcPr>
          <w:p>
            <w:pPr>
              <w:spacing w:after="0"/>
              <w:rPr>
                <w:sz w:val="20"/>
                <w:szCs w:val="20"/>
                <w:color w:val="auto"/>
              </w:rPr>
            </w:pPr>
            <w:r>
              <w:rPr>
                <w:rFonts w:ascii="Courier New" w:cs="Courier New" w:eastAsia="Courier New" w:hAnsi="Courier New"/>
                <w:sz w:val="15"/>
                <w:szCs w:val="15"/>
                <w:color w:val="auto"/>
              </w:rPr>
              <w:t>at end of period</w:t>
            </w:r>
          </w:p>
        </w:tc>
        <w:tc>
          <w:tcPr>
            <w:tcW w:w="86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96,606</w:t>
            </w:r>
          </w:p>
        </w:tc>
        <w:tc>
          <w:tcPr>
            <w:tcW w:w="108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2200" w:type="dxa"/>
            <w:vAlign w:val="bottom"/>
          </w:tcPr>
          <w:p>
            <w:pPr>
              <w:ind w:left="40"/>
              <w:spacing w:after="0"/>
              <w:rPr>
                <w:sz w:val="20"/>
                <w:szCs w:val="20"/>
                <w:color w:val="auto"/>
              </w:rPr>
            </w:pPr>
            <w:r>
              <w:rPr>
                <w:rFonts w:ascii="Courier New" w:cs="Courier New" w:eastAsia="Courier New" w:hAnsi="Courier New"/>
                <w:sz w:val="15"/>
                <w:szCs w:val="15"/>
                <w:color w:val="auto"/>
              </w:rPr>
              <w:t>98,039</w:t>
            </w:r>
          </w:p>
        </w:tc>
      </w:tr>
    </w:tbl>
    <w:p>
      <w:pPr>
        <w:spacing w:after="0" w:line="176" w:lineRule="exact"/>
        <w:rPr>
          <w:sz w:val="20"/>
          <w:szCs w:val="20"/>
          <w:color w:val="auto"/>
        </w:rPr>
      </w:pPr>
    </w:p>
    <w:p>
      <w:pPr>
        <w:ind w:left="8" w:right="2899"/>
        <w:spacing w:after="0" w:line="242" w:lineRule="auto"/>
        <w:rPr>
          <w:sz w:val="20"/>
          <w:szCs w:val="20"/>
          <w:color w:val="auto"/>
        </w:rPr>
      </w:pPr>
      <w:r>
        <w:rPr>
          <w:rFonts w:ascii="Courier New" w:cs="Courier New" w:eastAsia="Courier New" w:hAnsi="Courier New"/>
          <w:sz w:val="15"/>
          <w:szCs w:val="15"/>
          <w:color w:val="auto"/>
        </w:rPr>
        <w:t>Cash payments for interest expense were $6,759 and $6,720 for the six months ended May 1, 1994 and May 2, 1993, respectively. Cash payments for income taxes were $39,092 and $17,116 for the six months ended May 1, 1994 and May 2, 1993, respectively.</w:t>
      </w:r>
    </w:p>
    <w:p>
      <w:pPr>
        <w:spacing w:after="0" w:line="34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See accompanying notes to consolidated condensed financial statements.</w:t>
      </w:r>
    </w:p>
    <w:p>
      <w:pPr>
        <w:spacing w:after="0" w:line="346"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APPLIED MATERIALS, INC.</w:t>
      </w:r>
    </w:p>
    <w:p>
      <w:pPr>
        <w:spacing w:after="0" w:line="2"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NOTES TO CONSOLIDATED CONDENSED FINANCIAL STATEMENTS (Unaudited)</w:t>
      </w:r>
    </w:p>
    <w:p>
      <w:pPr>
        <w:spacing w:after="0" w:line="2"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SIX MONTHS ENDED MAY 1, 1994</w:t>
      </w:r>
    </w:p>
    <w:p>
      <w:pPr>
        <w:spacing w:after="0" w:line="2"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(In thousands)</w:t>
      </w:r>
    </w:p>
    <w:p>
      <w:pPr>
        <w:spacing w:after="0" w:line="346" w:lineRule="exact"/>
        <w:rPr>
          <w:sz w:val="20"/>
          <w:szCs w:val="20"/>
          <w:color w:val="auto"/>
        </w:rPr>
      </w:pPr>
    </w:p>
    <w:p>
      <w:pPr>
        <w:ind w:left="708" w:hanging="708"/>
        <w:spacing w:after="0"/>
        <w:tabs>
          <w:tab w:leader="none" w:pos="708"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4"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In the opinion of management, the unaudited consolidated condensed interim financial statements included herein have been prepared on the same basis as the October 31, 1993 audited consolidated financial statements and include all adjustments, consisting of only normal recurring adjustments,necessary to fairly state the information set forth therein. Certain amounts in the consolidated statement of cash flows for the six months ended May 2, 1993 have been reclassified to conform with the current period's presentation.</w:t>
      </w:r>
    </w:p>
    <w:p>
      <w:pPr>
        <w:spacing w:after="0" w:line="175" w:lineRule="exact"/>
        <w:rPr>
          <w:sz w:val="20"/>
          <w:szCs w:val="20"/>
          <w:color w:val="auto"/>
        </w:rPr>
      </w:pPr>
    </w:p>
    <w:p>
      <w:pPr>
        <w:ind w:left="708" w:hanging="708"/>
        <w:spacing w:after="0"/>
        <w:tabs>
          <w:tab w:leader="none" w:pos="70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4" w:lineRule="exact"/>
        <w:rPr>
          <w:sz w:val="20"/>
          <w:szCs w:val="20"/>
          <w:color w:val="auto"/>
        </w:rPr>
      </w:pPr>
    </w:p>
    <w:p>
      <w:pPr>
        <w:ind w:left="8" w:right="3339"/>
        <w:spacing w:after="0"/>
        <w:rPr>
          <w:sz w:val="20"/>
          <w:szCs w:val="20"/>
          <w:color w:val="auto"/>
        </w:rPr>
      </w:pPr>
      <w:r>
        <w:rPr>
          <w:rFonts w:ascii="Courier New" w:cs="Courier New" w:eastAsia="Courier New" w:hAnsi="Courier New"/>
          <w:sz w:val="15"/>
          <w:szCs w:val="15"/>
          <w:color w:val="auto"/>
        </w:rPr>
        <w:t>Earnings per share is computed on the basis of the weighted average number of common shares and common equivalent shares from dilutive stock options.</w:t>
      </w:r>
    </w:p>
    <w:p>
      <w:pPr>
        <w:spacing w:after="0" w:line="174" w:lineRule="exact"/>
        <w:rPr>
          <w:sz w:val="20"/>
          <w:szCs w:val="20"/>
          <w:color w:val="auto"/>
        </w:rPr>
      </w:pPr>
    </w:p>
    <w:p>
      <w:pPr>
        <w:ind w:left="708" w:hanging="708"/>
        <w:spacing w:after="0"/>
        <w:tabs>
          <w:tab w:leader="none" w:pos="70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2" w:lineRule="exact"/>
        <w:rPr>
          <w:rFonts w:ascii="Courier New" w:cs="Courier New" w:eastAsia="Courier New" w:hAnsi="Courier New"/>
          <w:sz w:val="15"/>
          <w:szCs w:val="15"/>
          <w:color w:val="auto"/>
        </w:rPr>
      </w:pPr>
    </w:p>
    <w:p>
      <w:pPr>
        <w:ind w:left="70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are stated at the lower of cost or market, with cost determined on</w:t>
      </w:r>
    </w:p>
    <w:p>
      <w:pPr>
        <w:spacing w:after="0" w:line="2" w:lineRule="exact"/>
        <w:rPr>
          <w:sz w:val="20"/>
          <w:szCs w:val="20"/>
          <w:color w:val="auto"/>
        </w:rPr>
      </w:pPr>
    </w:p>
    <w:p>
      <w:pPr>
        <w:ind w:left="88"/>
        <w:spacing w:after="0"/>
        <w:rPr>
          <w:sz w:val="20"/>
          <w:szCs w:val="20"/>
          <w:color w:val="auto"/>
        </w:rPr>
      </w:pPr>
      <w:r>
        <w:rPr>
          <w:rFonts w:ascii="Courier New" w:cs="Courier New" w:eastAsia="Courier New" w:hAnsi="Courier New"/>
          <w:sz w:val="15"/>
          <w:szCs w:val="15"/>
          <w:color w:val="auto"/>
        </w:rPr>
        <w:t>the basis of first-in, first-out (FIFO).</w:t>
      </w:r>
    </w:p>
    <w:p>
      <w:pPr>
        <w:spacing w:after="0" w:line="174" w:lineRule="exact"/>
        <w:rPr>
          <w:sz w:val="20"/>
          <w:szCs w:val="20"/>
          <w:color w:val="auto"/>
        </w:rPr>
      </w:pPr>
    </w:p>
    <w:p>
      <w:pPr>
        <w:ind w:left="708"/>
        <w:spacing w:after="0"/>
        <w:rPr>
          <w:sz w:val="20"/>
          <w:szCs w:val="20"/>
          <w:color w:val="auto"/>
        </w:rPr>
      </w:pPr>
      <w:r>
        <w:rPr>
          <w:rFonts w:ascii="Courier New" w:cs="Courier New" w:eastAsia="Courier New" w:hAnsi="Courier New"/>
          <w:sz w:val="15"/>
          <w:szCs w:val="15"/>
          <w:color w:val="auto"/>
        </w:rPr>
        <w:t>The components of inventories are as follows:</w:t>
      </w:r>
    </w:p>
    <w:p>
      <w:pPr>
        <w:spacing w:after="0" w:line="174" w:lineRule="exact"/>
        <w:rPr>
          <w:sz w:val="20"/>
          <w:szCs w:val="20"/>
          <w:color w:val="auto"/>
        </w:rPr>
      </w:pPr>
    </w:p>
    <w:tbl>
      <w:tblPr>
        <w:tblLayout w:type="fixed"/>
        <w:tblInd w:w="708" w:type="dxa"/>
        <w:tblCellMar>
          <w:top w:w="0" w:type="dxa"/>
          <w:left w:w="0" w:type="dxa"/>
          <w:bottom w:w="0" w:type="dxa"/>
          <w:right w:w="0" w:type="dxa"/>
        </w:tblCellMar>
      </w:tblPr>
      <w:tr>
        <w:trPr>
          <w:trHeight w:val="170"/>
        </w:trPr>
        <w:tc>
          <w:tcPr>
            <w:tcW w:w="2700" w:type="dxa"/>
            <w:vAlign w:val="bottom"/>
          </w:tcPr>
          <w:p>
            <w:pPr>
              <w:spacing w:after="0"/>
              <w:rPr>
                <w:sz w:val="14"/>
                <w:szCs w:val="14"/>
                <w:color w:val="auto"/>
              </w:rPr>
            </w:pPr>
          </w:p>
        </w:tc>
        <w:tc>
          <w:tcPr>
            <w:tcW w:w="2220" w:type="dxa"/>
            <w:vAlign w:val="bottom"/>
          </w:tcPr>
          <w:p>
            <w:pPr>
              <w:ind w:left="1060"/>
              <w:spacing w:after="0"/>
              <w:rPr>
                <w:sz w:val="20"/>
                <w:szCs w:val="20"/>
                <w:color w:val="auto"/>
              </w:rPr>
            </w:pPr>
            <w:r>
              <w:rPr>
                <w:rFonts w:ascii="Courier New" w:cs="Courier New" w:eastAsia="Courier New" w:hAnsi="Courier New"/>
                <w:sz w:val="15"/>
                <w:szCs w:val="15"/>
                <w:color w:val="auto"/>
              </w:rPr>
              <w:t>May 1, 1994</w:t>
            </w:r>
          </w:p>
        </w:tc>
        <w:tc>
          <w:tcPr>
            <w:tcW w:w="720" w:type="dxa"/>
            <w:vAlign w:val="bottom"/>
          </w:tcPr>
          <w:p>
            <w:pPr>
              <w:spacing w:after="0"/>
              <w:rPr>
                <w:sz w:val="14"/>
                <w:szCs w:val="14"/>
                <w:color w:val="auto"/>
              </w:rPr>
            </w:pP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October 31, 1993</w:t>
            </w:r>
          </w:p>
        </w:tc>
        <w:tc>
          <w:tcPr>
            <w:tcW w:w="540" w:type="dxa"/>
            <w:vAlign w:val="bottom"/>
          </w:tcPr>
          <w:p>
            <w:pPr>
              <w:spacing w:after="0"/>
              <w:rPr>
                <w:sz w:val="14"/>
                <w:szCs w:val="14"/>
                <w:color w:val="auto"/>
              </w:rPr>
            </w:pPr>
          </w:p>
        </w:tc>
      </w:tr>
      <w:tr>
        <w:trPr>
          <w:trHeight w:val="172"/>
        </w:trPr>
        <w:tc>
          <w:tcPr>
            <w:tcW w:w="2700" w:type="dxa"/>
            <w:vAlign w:val="bottom"/>
          </w:tcPr>
          <w:p>
            <w:pPr>
              <w:spacing w:after="0"/>
              <w:rPr>
                <w:sz w:val="20"/>
                <w:szCs w:val="20"/>
                <w:color w:val="auto"/>
              </w:rPr>
            </w:pPr>
            <w:r>
              <w:rPr>
                <w:rFonts w:ascii="Courier New" w:cs="Courier New" w:eastAsia="Courier New" w:hAnsi="Courier New"/>
                <w:sz w:val="15"/>
                <w:szCs w:val="15"/>
                <w:color w:val="auto"/>
              </w:rPr>
              <w:t>Customer service spares</w:t>
            </w:r>
          </w:p>
        </w:tc>
        <w:tc>
          <w:tcPr>
            <w:tcW w:w="2220" w:type="dxa"/>
            <w:vAlign w:val="bottom"/>
          </w:tcPr>
          <w:p>
            <w:pPr>
              <w:ind w:left="1600"/>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53,345</w:t>
            </w: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45,584</w:t>
            </w:r>
          </w:p>
        </w:tc>
      </w:tr>
      <w:tr>
        <w:trPr>
          <w:trHeight w:val="172"/>
        </w:trPr>
        <w:tc>
          <w:tcPr>
            <w:tcW w:w="2700" w:type="dxa"/>
            <w:vAlign w:val="bottom"/>
          </w:tcPr>
          <w:p>
            <w:pPr>
              <w:spacing w:after="0"/>
              <w:rPr>
                <w:sz w:val="20"/>
                <w:szCs w:val="20"/>
                <w:color w:val="auto"/>
              </w:rPr>
            </w:pPr>
            <w:r>
              <w:rPr>
                <w:rFonts w:ascii="Courier New" w:cs="Courier New" w:eastAsia="Courier New" w:hAnsi="Courier New"/>
                <w:sz w:val="15"/>
                <w:szCs w:val="15"/>
                <w:color w:val="auto"/>
              </w:rPr>
              <w:t>Systems raw materials</w:t>
            </w:r>
          </w:p>
        </w:tc>
        <w:tc>
          <w:tcPr>
            <w:tcW w:w="2220" w:type="dxa"/>
            <w:vAlign w:val="bottom"/>
          </w:tcPr>
          <w:p>
            <w:pPr>
              <w:ind w:left="1600"/>
              <w:spacing w:after="0"/>
              <w:rPr>
                <w:sz w:val="20"/>
                <w:szCs w:val="20"/>
                <w:color w:val="auto"/>
              </w:rPr>
            </w:pPr>
            <w:r>
              <w:rPr>
                <w:rFonts w:ascii="Courier New" w:cs="Courier New" w:eastAsia="Courier New" w:hAnsi="Courier New"/>
                <w:sz w:val="15"/>
                <w:szCs w:val="15"/>
                <w:color w:val="auto"/>
              </w:rPr>
              <w:t>42,998</w:t>
            </w:r>
          </w:p>
        </w:tc>
        <w:tc>
          <w:tcPr>
            <w:tcW w:w="720" w:type="dxa"/>
            <w:vAlign w:val="bottom"/>
          </w:tcPr>
          <w:p>
            <w:pPr>
              <w:spacing w:after="0"/>
              <w:rPr>
                <w:sz w:val="14"/>
                <w:szCs w:val="14"/>
                <w:color w:val="auto"/>
              </w:rPr>
            </w:pP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32,294</w:t>
            </w:r>
          </w:p>
        </w:tc>
        <w:tc>
          <w:tcPr>
            <w:tcW w:w="540" w:type="dxa"/>
            <w:vAlign w:val="bottom"/>
          </w:tcPr>
          <w:p>
            <w:pPr>
              <w:spacing w:after="0"/>
              <w:rPr>
                <w:sz w:val="14"/>
                <w:szCs w:val="14"/>
                <w:color w:val="auto"/>
              </w:rPr>
            </w:pPr>
          </w:p>
        </w:tc>
      </w:tr>
      <w:tr>
        <w:trPr>
          <w:trHeight w:val="172"/>
        </w:trPr>
        <w:tc>
          <w:tcPr>
            <w:tcW w:w="2700" w:type="dxa"/>
            <w:vAlign w:val="bottom"/>
          </w:tcPr>
          <w:p>
            <w:pPr>
              <w:spacing w:after="0"/>
              <w:rPr>
                <w:sz w:val="20"/>
                <w:szCs w:val="20"/>
                <w:color w:val="auto"/>
              </w:rPr>
            </w:pPr>
            <w:r>
              <w:rPr>
                <w:rFonts w:ascii="Courier New" w:cs="Courier New" w:eastAsia="Courier New" w:hAnsi="Courier New"/>
                <w:sz w:val="15"/>
                <w:szCs w:val="15"/>
                <w:color w:val="auto"/>
              </w:rPr>
              <w:t>Work-in-process</w:t>
            </w:r>
          </w:p>
        </w:tc>
        <w:tc>
          <w:tcPr>
            <w:tcW w:w="2220" w:type="dxa"/>
            <w:vAlign w:val="bottom"/>
          </w:tcPr>
          <w:p>
            <w:pPr>
              <w:ind w:left="1420"/>
              <w:spacing w:after="0"/>
              <w:rPr>
                <w:sz w:val="20"/>
                <w:szCs w:val="20"/>
                <w:color w:val="auto"/>
              </w:rPr>
            </w:pPr>
            <w:r>
              <w:rPr>
                <w:rFonts w:ascii="Courier New" w:cs="Courier New" w:eastAsia="Courier New" w:hAnsi="Courier New"/>
                <w:sz w:val="15"/>
                <w:szCs w:val="15"/>
                <w:color w:val="auto"/>
              </w:rPr>
              <w:t>68,768</w:t>
            </w:r>
          </w:p>
        </w:tc>
        <w:tc>
          <w:tcPr>
            <w:tcW w:w="720" w:type="dxa"/>
            <w:vAlign w:val="bottom"/>
          </w:tcPr>
          <w:p>
            <w:pPr>
              <w:spacing w:after="0"/>
              <w:rPr>
                <w:sz w:val="14"/>
                <w:szCs w:val="14"/>
                <w:color w:val="auto"/>
              </w:rPr>
            </w:pPr>
          </w:p>
        </w:tc>
        <w:tc>
          <w:tcPr>
            <w:tcW w:w="152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57,526</w:t>
            </w:r>
          </w:p>
        </w:tc>
        <w:tc>
          <w:tcPr>
            <w:tcW w:w="540" w:type="dxa"/>
            <w:vAlign w:val="bottom"/>
          </w:tcPr>
          <w:p>
            <w:pPr>
              <w:spacing w:after="0"/>
              <w:rPr>
                <w:sz w:val="14"/>
                <w:szCs w:val="14"/>
                <w:color w:val="auto"/>
              </w:rPr>
            </w:pPr>
          </w:p>
        </w:tc>
      </w:tr>
      <w:tr>
        <w:trPr>
          <w:trHeight w:val="172"/>
        </w:trPr>
        <w:tc>
          <w:tcPr>
            <w:tcW w:w="2700" w:type="dxa"/>
            <w:vAlign w:val="bottom"/>
          </w:tcPr>
          <w:p>
            <w:pPr>
              <w:spacing w:after="0"/>
              <w:rPr>
                <w:sz w:val="20"/>
                <w:szCs w:val="20"/>
                <w:color w:val="auto"/>
              </w:rPr>
            </w:pPr>
            <w:r>
              <w:rPr>
                <w:rFonts w:ascii="Courier New" w:cs="Courier New" w:eastAsia="Courier New" w:hAnsi="Courier New"/>
                <w:sz w:val="15"/>
                <w:szCs w:val="15"/>
                <w:color w:val="auto"/>
              </w:rPr>
              <w:t>Finished goods</w:t>
            </w:r>
          </w:p>
        </w:tc>
        <w:tc>
          <w:tcPr>
            <w:tcW w:w="2220" w:type="dxa"/>
            <w:vAlign w:val="bottom"/>
          </w:tcPr>
          <w:p>
            <w:pPr>
              <w:ind w:left="1600"/>
              <w:spacing w:after="0"/>
              <w:rPr>
                <w:sz w:val="20"/>
                <w:szCs w:val="20"/>
                <w:color w:val="auto"/>
              </w:rPr>
            </w:pPr>
            <w:r>
              <w:rPr>
                <w:rFonts w:ascii="Courier New" w:cs="Courier New" w:eastAsia="Courier New" w:hAnsi="Courier New"/>
                <w:sz w:val="15"/>
                <w:szCs w:val="15"/>
                <w:color w:val="auto"/>
              </w:rPr>
              <w:t>42,078</w:t>
            </w:r>
          </w:p>
        </w:tc>
        <w:tc>
          <w:tcPr>
            <w:tcW w:w="7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19,193</w:t>
            </w:r>
          </w:p>
        </w:tc>
      </w:tr>
      <w:tr>
        <w:trPr>
          <w:trHeight w:val="172"/>
        </w:trPr>
        <w:tc>
          <w:tcPr>
            <w:tcW w:w="2700" w:type="dxa"/>
            <w:vAlign w:val="bottom"/>
          </w:tcPr>
          <w:p>
            <w:pPr>
              <w:spacing w:after="0"/>
              <w:rPr>
                <w:sz w:val="14"/>
                <w:szCs w:val="14"/>
                <w:color w:val="auto"/>
              </w:rPr>
            </w:pPr>
          </w:p>
        </w:tc>
        <w:tc>
          <w:tcPr>
            <w:tcW w:w="2220" w:type="dxa"/>
            <w:vAlign w:val="bottom"/>
          </w:tcPr>
          <w:p>
            <w:pPr>
              <w:ind w:left="620"/>
              <w:spacing w:after="0"/>
              <w:rPr>
                <w:sz w:val="20"/>
                <w:szCs w:val="20"/>
                <w:color w:val="auto"/>
              </w:rPr>
            </w:pPr>
            <w:r>
              <w:rPr>
                <w:rFonts w:ascii="Courier New" w:cs="Courier New" w:eastAsia="Courier New" w:hAnsi="Courier New"/>
                <w:sz w:val="15"/>
                <w:szCs w:val="15"/>
                <w:color w:val="auto"/>
              </w:rPr>
              <w:t>$207,189</w:t>
            </w:r>
          </w:p>
        </w:tc>
        <w:tc>
          <w:tcPr>
            <w:tcW w:w="2240" w:type="dxa"/>
            <w:vAlign w:val="bottom"/>
            <w:gridSpan w:val="2"/>
          </w:tcPr>
          <w:p>
            <w:pPr>
              <w:jc w:val="right"/>
              <w:ind w:right="1265"/>
              <w:spacing w:after="0"/>
              <w:rPr>
                <w:sz w:val="20"/>
                <w:szCs w:val="20"/>
                <w:color w:val="auto"/>
              </w:rPr>
            </w:pPr>
            <w:r>
              <w:rPr>
                <w:rFonts w:ascii="Courier New" w:cs="Courier New" w:eastAsia="Courier New" w:hAnsi="Courier New"/>
                <w:sz w:val="15"/>
                <w:szCs w:val="15"/>
                <w:color w:val="auto"/>
              </w:rPr>
              <w:t>$154,597</w:t>
            </w:r>
          </w:p>
        </w:tc>
        <w:tc>
          <w:tcPr>
            <w:tcW w:w="540" w:type="dxa"/>
            <w:vAlign w:val="bottom"/>
          </w:tcPr>
          <w:p>
            <w:pPr>
              <w:spacing w:after="0"/>
              <w:rPr>
                <w:sz w:val="14"/>
                <w:szCs w:val="14"/>
                <w:color w:val="auto"/>
              </w:rPr>
            </w:pPr>
          </w:p>
        </w:tc>
      </w:tr>
    </w:tbl>
    <w:p>
      <w:pPr>
        <w:spacing w:after="0" w:line="174" w:lineRule="exact"/>
        <w:rPr>
          <w:sz w:val="20"/>
          <w:szCs w:val="20"/>
          <w:color w:val="auto"/>
        </w:rPr>
      </w:pPr>
    </w:p>
    <w:p>
      <w:pPr>
        <w:ind w:left="708" w:hanging="708"/>
        <w:spacing w:after="0"/>
        <w:tabs>
          <w:tab w:leader="none" w:pos="70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4" w:lineRule="exact"/>
        <w:rPr>
          <w:sz w:val="20"/>
          <w:szCs w:val="20"/>
          <w:color w:val="auto"/>
        </w:rPr>
      </w:pPr>
    </w:p>
    <w:p>
      <w:pPr>
        <w:ind w:left="8" w:right="3259"/>
        <w:spacing w:after="0" w:line="241" w:lineRule="auto"/>
        <w:rPr>
          <w:sz w:val="20"/>
          <w:szCs w:val="20"/>
          <w:color w:val="auto"/>
        </w:rPr>
      </w:pPr>
      <w:r>
        <w:rPr>
          <w:rFonts w:ascii="Courier New" w:cs="Courier New" w:eastAsia="Courier New" w:hAnsi="Courier New"/>
          <w:sz w:val="15"/>
          <w:szCs w:val="15"/>
          <w:color w:val="auto"/>
        </w:rPr>
        <w:t>Effective November 1, 1993, the Company adopted the provisions of Statement of Financial Accounting Standards No. 109 (SFAS 109), "Accounting for Income Taxes." The Company adopted SFAS 109 prospectively.</w:t>
      </w:r>
    </w:p>
    <w:p>
      <w:pPr>
        <w:spacing w:after="0" w:line="176" w:lineRule="exact"/>
        <w:rPr>
          <w:sz w:val="20"/>
          <w:szCs w:val="20"/>
          <w:color w:val="auto"/>
        </w:rPr>
      </w:pPr>
    </w:p>
    <w:p>
      <w:pPr>
        <w:ind w:left="8" w:right="3259"/>
        <w:spacing w:after="0" w:line="241" w:lineRule="auto"/>
        <w:rPr>
          <w:sz w:val="20"/>
          <w:szCs w:val="20"/>
          <w:color w:val="auto"/>
        </w:rPr>
      </w:pPr>
      <w:r>
        <w:rPr>
          <w:rFonts w:ascii="Courier New" w:cs="Courier New" w:eastAsia="Courier New" w:hAnsi="Courier New"/>
          <w:sz w:val="15"/>
          <w:szCs w:val="15"/>
          <w:color w:val="auto"/>
        </w:rPr>
        <w:t>The adoption of SFAS 109 changes the Company's method of accounting for income taxes from the deferred method, pursuant to APB 11, to an asset and liability approach. Under APB 11, deferred taxes are recognized for income</w:t>
      </w:r>
    </w:p>
    <w:p>
      <w:pPr>
        <w:spacing w:after="0" w:line="4" w:lineRule="exact"/>
        <w:rPr>
          <w:sz w:val="20"/>
          <w:szCs w:val="20"/>
          <w:color w:val="auto"/>
        </w:rPr>
      </w:pPr>
    </w:p>
    <w:p>
      <w:pPr>
        <w:ind w:left="8" w:right="3439"/>
        <w:spacing w:after="0" w:line="242" w:lineRule="auto"/>
        <w:rPr>
          <w:sz w:val="20"/>
          <w:szCs w:val="20"/>
          <w:color w:val="auto"/>
        </w:rPr>
      </w:pPr>
      <w:r>
        <w:rPr>
          <w:rFonts w:ascii="Courier New" w:cs="Courier New" w:eastAsia="Courier New" w:hAnsi="Courier New"/>
          <w:sz w:val="15"/>
          <w:szCs w:val="15"/>
          <w:color w:val="auto"/>
        </w:rPr>
        <w:t>and expense items that are reported in different years for financial reporting purposes. Under the asset and liability approach of SFAS 109, deferred assets and liabilities are recognized for the future consequences attributable to differences between the financial statement carrying amounts of existing assets and liabilities and their existing tax bases.</w:t>
      </w:r>
    </w:p>
    <w:p>
      <w:pPr>
        <w:spacing w:after="0" w:line="3" w:lineRule="exact"/>
        <w:rPr>
          <w:sz w:val="20"/>
          <w:szCs w:val="20"/>
          <w:color w:val="auto"/>
        </w:rPr>
      </w:pPr>
    </w:p>
    <w:p>
      <w:pPr>
        <w:ind w:left="8" w:right="3519"/>
        <w:spacing w:after="0" w:line="241" w:lineRule="auto"/>
        <w:rPr>
          <w:sz w:val="20"/>
          <w:szCs w:val="20"/>
          <w:color w:val="auto"/>
        </w:rPr>
      </w:pPr>
      <w:r>
        <w:rPr>
          <w:rFonts w:ascii="Courier New" w:cs="Courier New" w:eastAsia="Courier New" w:hAnsi="Courier New"/>
          <w:sz w:val="15"/>
          <w:szCs w:val="15"/>
          <w:color w:val="auto"/>
        </w:rPr>
        <w:t>The cumulative effect of adopting SFAS 109 resulted in a one-time credit of $7,000, or $0.08 per share, and is reported separately in the Consolidated Condensed Statement of Operations for the six</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month period ended May 1, 1994.</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Deferred tax assets (liabilities) at November 1, 1993 relate to the following:</w:t>
      </w:r>
    </w:p>
    <w:p>
      <w:pPr>
        <w:spacing w:after="0" w:line="17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360" w:type="dxa"/>
            <w:vAlign w:val="bottom"/>
            <w:gridSpan w:val="2"/>
          </w:tcPr>
          <w:p>
            <w:pPr>
              <w:spacing w:after="0"/>
              <w:rPr>
                <w:sz w:val="20"/>
                <w:szCs w:val="20"/>
                <w:color w:val="auto"/>
              </w:rPr>
            </w:pPr>
            <w:r>
              <w:rPr>
                <w:rFonts w:ascii="Courier New" w:cs="Courier New" w:eastAsia="Courier New" w:hAnsi="Courier New"/>
                <w:sz w:val="15"/>
                <w:szCs w:val="15"/>
                <w:color w:val="auto"/>
              </w:rPr>
              <w:t>Deferred tax assets:</w:t>
            </w:r>
          </w:p>
        </w:tc>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tcPr>
          <w:p>
            <w:pPr>
              <w:spacing w:after="0"/>
              <w:rPr>
                <w:sz w:val="14"/>
                <w:szCs w:val="14"/>
                <w:color w:val="auto"/>
              </w:rPr>
            </w:pPr>
          </w:p>
        </w:tc>
      </w:tr>
      <w:tr>
        <w:trPr>
          <w:trHeight w:val="344"/>
        </w:trPr>
        <w:tc>
          <w:tcPr>
            <w:tcW w:w="236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Financial accruals</w:t>
            </w:r>
          </w:p>
        </w:tc>
        <w:tc>
          <w:tcPr>
            <w:tcW w:w="2640" w:type="dxa"/>
            <w:vAlign w:val="bottom"/>
          </w:tcPr>
          <w:p>
            <w:pPr>
              <w:ind w:left="40"/>
              <w:spacing w:after="0"/>
              <w:rPr>
                <w:sz w:val="20"/>
                <w:szCs w:val="20"/>
                <w:color w:val="auto"/>
              </w:rPr>
            </w:pPr>
            <w:r>
              <w:rPr>
                <w:rFonts w:ascii="Courier New" w:cs="Courier New" w:eastAsia="Courier New" w:hAnsi="Courier New"/>
                <w:sz w:val="15"/>
                <w:szCs w:val="15"/>
                <w:color w:val="auto"/>
                <w:w w:val="98"/>
              </w:rPr>
              <w:t>not currently tax deductible:</w:t>
            </w: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172"/>
        </w:trPr>
        <w:tc>
          <w:tcPr>
            <w:tcW w:w="236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Inventory</w:t>
            </w:r>
          </w:p>
        </w:tc>
        <w:tc>
          <w:tcPr>
            <w:tcW w:w="26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740" w:type="dxa"/>
            <w:vAlign w:val="bottom"/>
          </w:tcPr>
          <w:p>
            <w:pPr>
              <w:ind w:left="580"/>
              <w:spacing w:after="0"/>
              <w:rPr>
                <w:sz w:val="20"/>
                <w:szCs w:val="20"/>
                <w:color w:val="auto"/>
              </w:rPr>
            </w:pPr>
            <w:r>
              <w:rPr>
                <w:rFonts w:ascii="Courier New" w:cs="Courier New" w:eastAsia="Courier New" w:hAnsi="Courier New"/>
                <w:sz w:val="15"/>
                <w:szCs w:val="15"/>
                <w:color w:val="auto"/>
              </w:rPr>
              <w:t>13,454</w:t>
            </w:r>
          </w:p>
        </w:tc>
      </w:tr>
      <w:tr>
        <w:trPr>
          <w:trHeight w:val="172"/>
        </w:trPr>
        <w:tc>
          <w:tcPr>
            <w:tcW w:w="5000" w:type="dxa"/>
            <w:vAlign w:val="bottom"/>
            <w:gridSpan w:val="3"/>
          </w:tcPr>
          <w:p>
            <w:pPr>
              <w:ind w:left="700"/>
              <w:spacing w:after="0"/>
              <w:rPr>
                <w:sz w:val="20"/>
                <w:szCs w:val="20"/>
                <w:color w:val="auto"/>
              </w:rPr>
            </w:pPr>
            <w:r>
              <w:rPr>
                <w:rFonts w:ascii="Courier New" w:cs="Courier New" w:eastAsia="Courier New" w:hAnsi="Courier New"/>
                <w:sz w:val="15"/>
                <w:szCs w:val="15"/>
                <w:color w:val="auto"/>
              </w:rPr>
              <w:t>Warranty and installation</w:t>
            </w:r>
          </w:p>
        </w:tc>
        <w:tc>
          <w:tcPr>
            <w:tcW w:w="140" w:type="dxa"/>
            <w:vAlign w:val="bottom"/>
          </w:tcPr>
          <w:p>
            <w:pPr>
              <w:spacing w:after="0"/>
              <w:rPr>
                <w:sz w:val="14"/>
                <w:szCs w:val="14"/>
                <w:color w:val="auto"/>
              </w:rPr>
            </w:pP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21,022</w:t>
            </w:r>
          </w:p>
        </w:tc>
      </w:tr>
      <w:tr>
        <w:trPr>
          <w:trHeight w:val="172"/>
        </w:trPr>
        <w:tc>
          <w:tcPr>
            <w:tcW w:w="1200" w:type="dxa"/>
            <w:vAlign w:val="bottom"/>
          </w:tcPr>
          <w:p>
            <w:pPr>
              <w:ind w:left="700"/>
              <w:spacing w:after="0"/>
              <w:rPr>
                <w:sz w:val="20"/>
                <w:szCs w:val="20"/>
                <w:color w:val="auto"/>
              </w:rPr>
            </w:pPr>
            <w:r>
              <w:rPr>
                <w:rFonts w:ascii="Courier New" w:cs="Courier New" w:eastAsia="Courier New" w:hAnsi="Courier New"/>
                <w:sz w:val="15"/>
                <w:szCs w:val="15"/>
                <w:color w:val="auto"/>
              </w:rPr>
              <w:t>Other</w:t>
            </w:r>
          </w:p>
        </w:tc>
        <w:tc>
          <w:tcPr>
            <w:tcW w:w="11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tcPr>
          <w:p>
            <w:pPr>
              <w:ind w:left="580"/>
              <w:spacing w:after="0"/>
              <w:rPr>
                <w:sz w:val="20"/>
                <w:szCs w:val="20"/>
                <w:color w:val="auto"/>
              </w:rPr>
            </w:pPr>
            <w:r>
              <w:rPr>
                <w:rFonts w:ascii="Courier New" w:cs="Courier New" w:eastAsia="Courier New" w:hAnsi="Courier New"/>
                <w:sz w:val="15"/>
                <w:szCs w:val="15"/>
                <w:color w:val="auto"/>
              </w:rPr>
              <w:t>19,458</w:t>
            </w:r>
          </w:p>
        </w:tc>
      </w:tr>
      <w:tr>
        <w:trPr>
          <w:trHeight w:val="172"/>
        </w:trPr>
        <w:tc>
          <w:tcPr>
            <w:tcW w:w="1200" w:type="dxa"/>
            <w:vAlign w:val="bottom"/>
          </w:tcPr>
          <w:p>
            <w:pPr>
              <w:ind w:left="700"/>
              <w:spacing w:after="0"/>
              <w:rPr>
                <w:sz w:val="20"/>
                <w:szCs w:val="20"/>
                <w:color w:val="auto"/>
              </w:rPr>
            </w:pPr>
            <w:r>
              <w:rPr>
                <w:rFonts w:ascii="Courier New" w:cs="Courier New" w:eastAsia="Courier New" w:hAnsi="Courier New"/>
                <w:sz w:val="15"/>
                <w:szCs w:val="15"/>
                <w:color w:val="auto"/>
              </w:rPr>
              <w:t>State</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income taxes</w:t>
            </w:r>
          </w:p>
        </w:tc>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tcPr>
          <w:p>
            <w:pPr>
              <w:ind w:left="1300"/>
              <w:spacing w:after="0"/>
              <w:rPr>
                <w:sz w:val="20"/>
                <w:szCs w:val="20"/>
                <w:color w:val="auto"/>
              </w:rPr>
            </w:pPr>
            <w:r>
              <w:rPr>
                <w:rFonts w:ascii="Courier New" w:cs="Courier New" w:eastAsia="Courier New" w:hAnsi="Courier New"/>
                <w:sz w:val="15"/>
                <w:szCs w:val="15"/>
                <w:color w:val="auto"/>
                <w:w w:val="93"/>
              </w:rPr>
              <w:t>8,135</w:t>
            </w:r>
          </w:p>
        </w:tc>
      </w:tr>
      <w:tr>
        <w:trPr>
          <w:trHeight w:val="172"/>
        </w:trPr>
        <w:tc>
          <w:tcPr>
            <w:tcW w:w="1200" w:type="dxa"/>
            <w:vAlign w:val="bottom"/>
          </w:tcPr>
          <w:p>
            <w:pPr>
              <w:ind w:left="700"/>
              <w:spacing w:after="0"/>
              <w:rPr>
                <w:sz w:val="20"/>
                <w:szCs w:val="20"/>
                <w:color w:val="auto"/>
              </w:rPr>
            </w:pPr>
            <w:r>
              <w:rPr>
                <w:rFonts w:ascii="Courier New" w:cs="Courier New" w:eastAsia="Courier New" w:hAnsi="Courier New"/>
                <w:sz w:val="15"/>
                <w:szCs w:val="15"/>
                <w:color w:val="auto"/>
              </w:rPr>
              <w:t>Other</w:t>
            </w:r>
          </w:p>
        </w:tc>
        <w:tc>
          <w:tcPr>
            <w:tcW w:w="11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tcPr>
          <w:p>
            <w:pPr>
              <w:ind w:left="580"/>
              <w:spacing w:after="0"/>
              <w:rPr>
                <w:sz w:val="20"/>
                <w:szCs w:val="20"/>
                <w:color w:val="auto"/>
              </w:rPr>
            </w:pPr>
            <w:r>
              <w:rPr>
                <w:rFonts w:ascii="Courier New" w:cs="Courier New" w:eastAsia="Courier New" w:hAnsi="Courier New"/>
                <w:sz w:val="15"/>
                <w:szCs w:val="15"/>
                <w:color w:val="auto"/>
              </w:rPr>
              <w:t>4,344</w:t>
            </w:r>
          </w:p>
        </w:tc>
      </w:tr>
      <w:tr>
        <w:trPr>
          <w:trHeight w:val="172"/>
        </w:trPr>
        <w:tc>
          <w:tcPr>
            <w:tcW w:w="1200" w:type="dxa"/>
            <w:vAlign w:val="bottom"/>
          </w:tcPr>
          <w:p>
            <w:pPr>
              <w:ind w:left="700"/>
              <w:spacing w:after="0"/>
              <w:rPr>
                <w:sz w:val="20"/>
                <w:szCs w:val="20"/>
                <w:color w:val="auto"/>
              </w:rPr>
            </w:pPr>
            <w:r>
              <w:rPr>
                <w:rFonts w:ascii="Courier New" w:cs="Courier New" w:eastAsia="Courier New" w:hAnsi="Courier New"/>
                <w:sz w:val="15"/>
                <w:szCs w:val="15"/>
                <w:color w:val="auto"/>
              </w:rPr>
              <w:t>Total</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deferred tax</w:t>
            </w:r>
          </w:p>
        </w:tc>
        <w:tc>
          <w:tcPr>
            <w:tcW w:w="2640" w:type="dxa"/>
            <w:vAlign w:val="bottom"/>
          </w:tcPr>
          <w:p>
            <w:pPr>
              <w:ind w:left="40"/>
              <w:spacing w:after="0"/>
              <w:rPr>
                <w:sz w:val="20"/>
                <w:szCs w:val="20"/>
                <w:color w:val="auto"/>
              </w:rPr>
            </w:pPr>
            <w:r>
              <w:rPr>
                <w:rFonts w:ascii="Courier New" w:cs="Courier New" w:eastAsia="Courier New" w:hAnsi="Courier New"/>
                <w:sz w:val="15"/>
                <w:szCs w:val="15"/>
                <w:color w:val="auto"/>
              </w:rPr>
              <w:t>assets</w:t>
            </w:r>
          </w:p>
        </w:tc>
        <w:tc>
          <w:tcPr>
            <w:tcW w:w="140" w:type="dxa"/>
            <w:vAlign w:val="bottom"/>
          </w:tcPr>
          <w:p>
            <w:pPr>
              <w:spacing w:after="0"/>
              <w:rPr>
                <w:sz w:val="14"/>
                <w:szCs w:val="14"/>
                <w:color w:val="auto"/>
              </w:rPr>
            </w:pPr>
          </w:p>
        </w:tc>
        <w:tc>
          <w:tcPr>
            <w:tcW w:w="1740" w:type="dxa"/>
            <w:vAlign w:val="bottom"/>
          </w:tcPr>
          <w:p>
            <w:pPr>
              <w:ind w:left="580"/>
              <w:spacing w:after="0"/>
              <w:rPr>
                <w:sz w:val="20"/>
                <w:szCs w:val="20"/>
                <w:color w:val="auto"/>
              </w:rPr>
            </w:pPr>
            <w:r>
              <w:rPr>
                <w:rFonts w:ascii="Courier New" w:cs="Courier New" w:eastAsia="Courier New" w:hAnsi="Courier New"/>
                <w:sz w:val="15"/>
                <w:szCs w:val="15"/>
                <w:color w:val="auto"/>
              </w:rPr>
              <w:t>66,413</w:t>
            </w:r>
          </w:p>
        </w:tc>
      </w:tr>
      <w:tr>
        <w:trPr>
          <w:trHeight w:val="344"/>
        </w:trPr>
        <w:tc>
          <w:tcPr>
            <w:tcW w:w="1200" w:type="dxa"/>
            <w:vAlign w:val="bottom"/>
          </w:tcPr>
          <w:p>
            <w:pPr>
              <w:ind w:left="80"/>
              <w:spacing w:after="0"/>
              <w:rPr>
                <w:sz w:val="20"/>
                <w:szCs w:val="20"/>
                <w:color w:val="auto"/>
              </w:rPr>
            </w:pPr>
            <w:r>
              <w:rPr>
                <w:rFonts w:ascii="Courier New" w:cs="Courier New" w:eastAsia="Courier New" w:hAnsi="Courier New"/>
                <w:sz w:val="15"/>
                <w:szCs w:val="15"/>
                <w:color w:val="auto"/>
              </w:rPr>
              <w:t>Deferred tax</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liabilities:</w:t>
            </w:r>
          </w:p>
        </w:tc>
        <w:tc>
          <w:tcPr>
            <w:tcW w:w="2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0227"/>
          </w:cols>
          <w:pgMar w:left="232" w:top="140" w:right="1440" w:bottom="0" w:gutter="0" w:footer="0" w:header="0"/>
        </w:sectPr>
      </w:pPr>
    </w:p>
    <w:bookmarkStart w:id="3" w:name="page4"/>
    <w:bookmarkEnd w:id="3"/>
    <w:p>
      <w:pPr>
        <w:spacing w:after="0" w:line="13" w:lineRule="exact"/>
        <w:rPr>
          <w:sz w:val="20"/>
          <w:szCs w:val="20"/>
          <w:color w:val="auto"/>
        </w:rPr>
      </w:pPr>
    </w:p>
    <w:tbl>
      <w:tblPr>
        <w:tblLayout w:type="fixed"/>
        <w:tblInd w:w="80" w:type="dxa"/>
        <w:tblCellMar>
          <w:top w:w="0" w:type="dxa"/>
          <w:left w:w="0" w:type="dxa"/>
          <w:bottom w:w="0" w:type="dxa"/>
          <w:right w:w="0" w:type="dxa"/>
        </w:tblCellMar>
      </w:tblPr>
      <w:tr>
        <w:trPr>
          <w:trHeight w:val="170"/>
        </w:trPr>
        <w:tc>
          <w:tcPr>
            <w:tcW w:w="3440" w:type="dxa"/>
            <w:vAlign w:val="bottom"/>
          </w:tcPr>
          <w:p>
            <w:pPr>
              <w:ind w:left="720"/>
              <w:spacing w:after="0"/>
              <w:rPr>
                <w:sz w:val="20"/>
                <w:szCs w:val="20"/>
                <w:color w:val="auto"/>
              </w:rPr>
            </w:pPr>
            <w:r>
              <w:rPr>
                <w:rFonts w:ascii="Courier New" w:cs="Courier New" w:eastAsia="Courier New" w:hAnsi="Courier New"/>
                <w:sz w:val="15"/>
                <w:szCs w:val="15"/>
                <w:color w:val="auto"/>
              </w:rPr>
              <w:t>Depreciation and other</w:t>
            </w:r>
          </w:p>
        </w:tc>
        <w:tc>
          <w:tcPr>
            <w:tcW w:w="1160" w:type="dxa"/>
            <w:vAlign w:val="bottom"/>
          </w:tcPr>
          <w:p>
            <w:pPr>
              <w:spacing w:after="0"/>
              <w:rPr>
                <w:sz w:val="14"/>
                <w:szCs w:val="14"/>
                <w:color w:val="auto"/>
              </w:rPr>
            </w:pP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(7,193)</w:t>
            </w:r>
          </w:p>
        </w:tc>
      </w:tr>
      <w:tr>
        <w:trPr>
          <w:trHeight w:val="344"/>
        </w:trPr>
        <w:tc>
          <w:tcPr>
            <w:tcW w:w="3440" w:type="dxa"/>
            <w:vAlign w:val="bottom"/>
          </w:tcPr>
          <w:p>
            <w:pPr>
              <w:spacing w:after="0"/>
              <w:rPr>
                <w:sz w:val="20"/>
                <w:szCs w:val="20"/>
                <w:color w:val="auto"/>
              </w:rPr>
            </w:pPr>
            <w:r>
              <w:rPr>
                <w:rFonts w:ascii="Courier New" w:cs="Courier New" w:eastAsia="Courier New" w:hAnsi="Courier New"/>
                <w:sz w:val="15"/>
                <w:szCs w:val="15"/>
                <w:color w:val="auto"/>
              </w:rPr>
              <w:t>Net deferred tax assets</w:t>
            </w:r>
          </w:p>
        </w:tc>
        <w:tc>
          <w:tcPr>
            <w:tcW w:w="11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59,220</w:t>
            </w:r>
          </w:p>
        </w:tc>
      </w:tr>
    </w:tbl>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APPLIED MATERIALS, INC.</w:t>
      </w:r>
    </w:p>
    <w:p>
      <w:pPr>
        <w:spacing w:after="0" w:line="4" w:lineRule="exact"/>
        <w:rPr>
          <w:sz w:val="20"/>
          <w:szCs w:val="20"/>
          <w:color w:val="auto"/>
        </w:rPr>
      </w:pPr>
    </w:p>
    <w:p>
      <w:pPr>
        <w:ind w:right="4959"/>
        <w:spacing w:after="0"/>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200" w:lineRule="exact"/>
        <w:rPr>
          <w:sz w:val="20"/>
          <w:szCs w:val="20"/>
          <w:color w:val="auto"/>
        </w:rPr>
      </w:pPr>
    </w:p>
    <w:p>
      <w:pPr>
        <w:spacing w:after="0" w:line="320"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During the second quarter of fiscal 1994 Applied Materials, Inc. reported record net sales of $411.3 million. New orders of $456.5 million were received during the quarter, driven by increased demand for the Company's Physical Vapor Deposition (PVD) systems, Ion Implant systems and customer support and spares and continued strong demand for Etch and Chemical Vapor Depositions (CVD) systems. Backlog at May 1, 1994 was $498.8 million.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The Company's worldwide net sales for the three and six month periods ended May 1, 1994 increased by 61 percent and 60 percent, respectively, from the corresponding periods in fiscal 1993. This growth can be primarily attributed to increased unit sales of the Company's single-wafer, multi-chamber systems and increases in customer support revenues for all of the regions served by the Company. Compared with the six months ended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2, 1993, PVD, metal Chemical Vapor Deposition (MCVD), Etch and Ion Implant</w:t>
      </w:r>
    </w:p>
    <w:p>
      <w:pPr>
        <w:spacing w:after="0" w:line="2" w:lineRule="exact"/>
        <w:rPr>
          <w:sz w:val="20"/>
          <w:szCs w:val="20"/>
          <w:color w:val="auto"/>
        </w:rPr>
      </w:pPr>
    </w:p>
    <w:p>
      <w:pPr>
        <w:spacing w:after="0"/>
        <w:tabs>
          <w:tab w:leader="none" w:pos="3020" w:val="left"/>
        </w:tabs>
        <w:rPr>
          <w:sz w:val="20"/>
          <w:szCs w:val="20"/>
          <w:color w:val="auto"/>
        </w:rPr>
      </w:pPr>
      <w:r>
        <w:rPr>
          <w:rFonts w:ascii="Courier New" w:cs="Courier New" w:eastAsia="Courier New" w:hAnsi="Courier New"/>
          <w:sz w:val="15"/>
          <w:szCs w:val="15"/>
          <w:color w:val="auto"/>
        </w:rPr>
        <w:t>sales were all up significantly.</w:t>
      </w:r>
      <w:r>
        <w:rPr>
          <w:sz w:val="20"/>
          <w:szCs w:val="20"/>
          <w:color w:val="auto"/>
        </w:rPr>
        <w:tab/>
      </w:r>
      <w:r>
        <w:rPr>
          <w:rFonts w:ascii="Courier New" w:cs="Courier New" w:eastAsia="Courier New" w:hAnsi="Courier New"/>
          <w:sz w:val="14"/>
          <w:szCs w:val="14"/>
          <w:color w:val="auto"/>
        </w:rPr>
        <w:t>Regionally, 66 percent of the Company's net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for the second quarter of fiscal 1994 were to customers located</w:t>
      </w:r>
    </w:p>
    <w:p>
      <w:pPr>
        <w:spacing w:after="0" w:line="2" w:lineRule="exact"/>
        <w:rPr>
          <w:sz w:val="20"/>
          <w:szCs w:val="20"/>
          <w:color w:val="auto"/>
        </w:rPr>
      </w:pPr>
    </w:p>
    <w:p>
      <w:pPr>
        <w:spacing w:after="0"/>
        <w:tabs>
          <w:tab w:leader="none" w:pos="3100" w:val="left"/>
        </w:tabs>
        <w:rPr>
          <w:sz w:val="20"/>
          <w:szCs w:val="20"/>
          <w:color w:val="auto"/>
        </w:rPr>
      </w:pPr>
      <w:r>
        <w:rPr>
          <w:rFonts w:ascii="Courier New" w:cs="Courier New" w:eastAsia="Courier New" w:hAnsi="Courier New"/>
          <w:sz w:val="15"/>
          <w:szCs w:val="15"/>
          <w:color w:val="auto"/>
        </w:rPr>
        <w:t>outside North America compared to</w:t>
      </w:r>
      <w:r>
        <w:rPr>
          <w:sz w:val="20"/>
          <w:szCs w:val="20"/>
          <w:color w:val="auto"/>
        </w:rPr>
        <w:tab/>
      </w:r>
      <w:r>
        <w:rPr>
          <w:rFonts w:ascii="Courier New" w:cs="Courier New" w:eastAsia="Courier New" w:hAnsi="Courier New"/>
          <w:sz w:val="14"/>
          <w:szCs w:val="14"/>
          <w:color w:val="auto"/>
        </w:rPr>
        <w:t>57 percent in the first quarter of 1994 and</w:t>
      </w:r>
    </w:p>
    <w:p>
      <w:pPr>
        <w:spacing w:after="0" w:line="2" w:lineRule="exact"/>
        <w:rPr>
          <w:sz w:val="20"/>
          <w:szCs w:val="20"/>
          <w:color w:val="auto"/>
        </w:rPr>
      </w:pPr>
    </w:p>
    <w:p>
      <w:pPr>
        <w:spacing w:after="0"/>
        <w:tabs>
          <w:tab w:leader="none" w:pos="3820" w:val="left"/>
        </w:tabs>
        <w:rPr>
          <w:sz w:val="20"/>
          <w:szCs w:val="20"/>
          <w:color w:val="auto"/>
        </w:rPr>
      </w:pPr>
      <w:r>
        <w:rPr>
          <w:rFonts w:ascii="Courier New" w:cs="Courier New" w:eastAsia="Courier New" w:hAnsi="Courier New"/>
          <w:sz w:val="15"/>
          <w:szCs w:val="15"/>
          <w:color w:val="auto"/>
        </w:rPr>
        <w:t>67 percent in the comparable 1993 period.</w:t>
      </w:r>
      <w:r>
        <w:rPr>
          <w:sz w:val="20"/>
          <w:szCs w:val="20"/>
          <w:color w:val="auto"/>
        </w:rPr>
        <w:tab/>
      </w:r>
      <w:r>
        <w:rPr>
          <w:rFonts w:ascii="Courier New" w:cs="Courier New" w:eastAsia="Courier New" w:hAnsi="Courier New"/>
          <w:sz w:val="14"/>
          <w:szCs w:val="14"/>
          <w:color w:val="auto"/>
        </w:rPr>
        <w:t>Sales to customers located outside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 America represented 62 percent in the first half of 1994</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compared to 61 percent in the first half of 1993. Fiscal 1994 year to date sales to customers located in Asia/Pacific (excluding Japan) increased 82 percent from the prior year and accounted for 18 percent of the Company's fiscal 1994 year to date sales, an increase from 15 percent in the comparable fiscal period in 1993. This increase was driven primarily by revenue from systems shipped in the first half of fiscal 1994 in response to a $80 million Hyundai Electronics Co., Ltd. order. Sales to customers in Japan during the three and six month periods ended May 1, 1994 showed significant increases over the comparable periods in fiscal 1993 as DRAM manufacturers began expansions of new eight-inch lines. Sales in Japan represented 27 percent of total 1994 year to date sales compared to 25 percent of</w:t>
      </w:r>
    </w:p>
    <w:p>
      <w:pPr>
        <w:spacing w:after="0" w:line="7"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fiscal 1993 year to date sales. Fiscal 1994 year to date sales to customers in Europe increased 36 percent over fiscal 1993 year to date sales due to increasing demand for capacity to produce advanced telecommunication devices. The bookings to net sales ratio in the second quarter of fiscal 1994 has declined from the first quarter of fiscal 1994, which was unusually high</w:t>
      </w:r>
    </w:p>
    <w:p>
      <w:pPr>
        <w:spacing w:after="0" w:line="3" w:lineRule="exact"/>
        <w:rPr>
          <w:sz w:val="20"/>
          <w:szCs w:val="20"/>
          <w:color w:val="auto"/>
        </w:rPr>
      </w:pPr>
    </w:p>
    <w:p>
      <w:pPr>
        <w:ind w:right="3699"/>
        <w:spacing w:after="0" w:line="241" w:lineRule="auto"/>
        <w:rPr>
          <w:sz w:val="20"/>
          <w:szCs w:val="20"/>
          <w:color w:val="auto"/>
        </w:rPr>
      </w:pPr>
      <w:r>
        <w:rPr>
          <w:rFonts w:ascii="Courier New" w:cs="Courier New" w:eastAsia="Courier New" w:hAnsi="Courier New"/>
          <w:sz w:val="15"/>
          <w:szCs w:val="15"/>
          <w:color w:val="auto"/>
        </w:rPr>
        <w:t>due to the $80 million order from Hyundai. The Company anticipates that the bookings to net sales ratio will remain positive during the remainder of fiscal 1994.</w:t>
      </w:r>
    </w:p>
    <w:p>
      <w:pPr>
        <w:spacing w:after="0" w:line="176" w:lineRule="exact"/>
        <w:rPr>
          <w:sz w:val="20"/>
          <w:szCs w:val="20"/>
          <w:color w:val="auto"/>
        </w:rPr>
      </w:pPr>
    </w:p>
    <w:p>
      <w:pPr>
        <w:ind w:right="3159"/>
        <w:spacing w:after="0" w:line="241" w:lineRule="auto"/>
        <w:rPr>
          <w:sz w:val="20"/>
          <w:szCs w:val="20"/>
          <w:color w:val="auto"/>
        </w:rPr>
      </w:pPr>
      <w:r>
        <w:rPr>
          <w:rFonts w:ascii="Courier New" w:cs="Courier New" w:eastAsia="Courier New" w:hAnsi="Courier New"/>
          <w:sz w:val="15"/>
          <w:szCs w:val="15"/>
          <w:color w:val="auto"/>
        </w:rPr>
        <w:t>Gross margin as a percentage of sales for the three and six month periods ended May 1, 1994 increased approximately three percentage points from the corresponding periods in fiscal 1993. The continued improvement</w:t>
      </w:r>
    </w:p>
    <w:p>
      <w:pPr>
        <w:spacing w:after="0" w:line="4" w:lineRule="exact"/>
        <w:rPr>
          <w:sz w:val="20"/>
          <w:szCs w:val="20"/>
          <w:color w:val="auto"/>
        </w:rPr>
      </w:pPr>
    </w:p>
    <w:p>
      <w:pPr>
        <w:ind w:right="3519"/>
        <w:spacing w:after="0" w:line="242" w:lineRule="auto"/>
        <w:rPr>
          <w:sz w:val="20"/>
          <w:szCs w:val="20"/>
          <w:color w:val="auto"/>
        </w:rPr>
      </w:pPr>
      <w:r>
        <w:rPr>
          <w:rFonts w:ascii="Courier New" w:cs="Courier New" w:eastAsia="Courier New" w:hAnsi="Courier New"/>
          <w:sz w:val="15"/>
          <w:szCs w:val="15"/>
          <w:color w:val="auto"/>
        </w:rPr>
        <w:t>in gross margin percentage primarily reflects economies of scale in manufacturing and service and support operations as net sales have reached record levels. Past margin trends are not necessarily indicative of future margin performance.</w:t>
      </w:r>
    </w:p>
    <w:p>
      <w:pPr>
        <w:spacing w:after="0" w:line="175" w:lineRule="exact"/>
        <w:rPr>
          <w:sz w:val="20"/>
          <w:szCs w:val="20"/>
          <w:color w:val="auto"/>
        </w:rPr>
      </w:pPr>
    </w:p>
    <w:p>
      <w:pPr>
        <w:ind w:right="3699"/>
        <w:spacing w:after="0" w:line="242" w:lineRule="auto"/>
        <w:rPr>
          <w:sz w:val="20"/>
          <w:szCs w:val="20"/>
          <w:color w:val="auto"/>
        </w:rPr>
      </w:pPr>
      <w:r>
        <w:rPr>
          <w:rFonts w:ascii="Courier New" w:cs="Courier New" w:eastAsia="Courier New" w:hAnsi="Courier New"/>
          <w:sz w:val="15"/>
          <w:szCs w:val="15"/>
          <w:color w:val="auto"/>
        </w:rPr>
        <w:t>Operating expenses for the three and six month periods ended May 1, 1994 decreased 4.5 and 4.2 percentage points as a percentage of sales, respectively, compared to the corresponding periods in fiscal 1993. This improvement is driven primarily by the Company's record sales levels.</w:t>
      </w:r>
    </w:p>
    <w:p>
      <w:pPr>
        <w:spacing w:after="0" w:line="3" w:lineRule="exact"/>
        <w:rPr>
          <w:sz w:val="20"/>
          <w:szCs w:val="20"/>
          <w:color w:val="auto"/>
        </w:rPr>
      </w:pPr>
    </w:p>
    <w:p>
      <w:pPr>
        <w:ind w:right="3699"/>
        <w:spacing w:after="0" w:line="242" w:lineRule="auto"/>
        <w:rPr>
          <w:sz w:val="20"/>
          <w:szCs w:val="20"/>
          <w:color w:val="auto"/>
        </w:rPr>
      </w:pPr>
      <w:r>
        <w:rPr>
          <w:rFonts w:ascii="Courier New" w:cs="Courier New" w:eastAsia="Courier New" w:hAnsi="Courier New"/>
          <w:sz w:val="15"/>
          <w:szCs w:val="15"/>
          <w:color w:val="auto"/>
        </w:rPr>
        <w:t>The Company intends to invest significant funds for facilities expansion, information systems technology and personnel to support higher volumes of business and thus there can be no assurance that the Company will be successful in maintaining or improving future operating expenses as a percentage of sales.</w:t>
      </w:r>
    </w:p>
    <w:p>
      <w:pPr>
        <w:spacing w:after="0" w:line="175"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The Company's effective tax rate for the first quarter and first half of fiscal 1994 was 35 percent, up from 33 percent in fiscal 1993. This increase</w:t>
      </w:r>
    </w:p>
    <w:p>
      <w:pPr>
        <w:spacing w:after="0" w:line="4" w:lineRule="exact"/>
        <w:rPr>
          <w:sz w:val="20"/>
          <w:szCs w:val="20"/>
          <w:color w:val="auto"/>
        </w:rPr>
      </w:pPr>
    </w:p>
    <w:p>
      <w:pPr>
        <w:jc w:val="both"/>
        <w:ind w:right="3339"/>
        <w:spacing w:after="0" w:line="241" w:lineRule="auto"/>
        <w:rPr>
          <w:sz w:val="20"/>
          <w:szCs w:val="20"/>
          <w:color w:val="auto"/>
        </w:rPr>
      </w:pPr>
      <w:r>
        <w:rPr>
          <w:rFonts w:ascii="Courier New" w:cs="Courier New" w:eastAsia="Courier New" w:hAnsi="Courier New"/>
          <w:sz w:val="15"/>
          <w:szCs w:val="15"/>
          <w:color w:val="auto"/>
        </w:rPr>
        <w:t>is due to recently enacted U.S. tax legislation as well as variations in the Company's worldwide income mix and foreign taxes. Management anticipates the 35 percent effective tax rate will continue through the end of fiscal 1994.</w:t>
      </w:r>
    </w:p>
    <w:p>
      <w:pPr>
        <w:spacing w:after="0" w:line="176"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Net income for the first half of fiscal 1994 of $99.5 million includes the favorable impact of an accounting change of $7.0 million, or $0.08</w:t>
      </w:r>
    </w:p>
    <w:p>
      <w:pPr>
        <w:spacing w:after="0" w:line="4" w:lineRule="exact"/>
        <w:rPr>
          <w:sz w:val="20"/>
          <w:szCs w:val="20"/>
          <w:color w:val="auto"/>
        </w:rPr>
      </w:pPr>
    </w:p>
    <w:p>
      <w:pPr>
        <w:ind w:right="3159"/>
        <w:spacing w:after="0" w:line="260" w:lineRule="auto"/>
        <w:rPr>
          <w:sz w:val="20"/>
          <w:szCs w:val="20"/>
          <w:color w:val="auto"/>
        </w:rPr>
      </w:pPr>
      <w:r>
        <w:rPr>
          <w:rFonts w:ascii="Courier New" w:cs="Courier New" w:eastAsia="Courier New" w:hAnsi="Courier New"/>
          <w:sz w:val="14"/>
          <w:szCs w:val="14"/>
          <w:color w:val="auto"/>
        </w:rPr>
        <w:t>per share, from the cumulative effect of the adoption of Statement of Financial Accounting Standards No. 109, "Accounting for Income Taxes"(SFAS 109).</w:t>
      </w:r>
    </w:p>
    <w:p>
      <w:pPr>
        <w:jc w:val="both"/>
        <w:ind w:right="3779"/>
        <w:spacing w:after="0" w:line="241" w:lineRule="auto"/>
        <w:rPr>
          <w:sz w:val="20"/>
          <w:szCs w:val="20"/>
          <w:color w:val="auto"/>
        </w:rPr>
      </w:pPr>
      <w:r>
        <w:rPr>
          <w:rFonts w:ascii="Courier New" w:cs="Courier New" w:eastAsia="Courier New" w:hAnsi="Courier New"/>
          <w:sz w:val="15"/>
          <w:szCs w:val="15"/>
          <w:color w:val="auto"/>
        </w:rPr>
        <w:t>The Company adopted SFAS 109 prospectively and the cumulative accounting change is reported separately in the Consolidated Condensed Statement of Operations.</w:t>
      </w:r>
    </w:p>
    <w:p>
      <w:pPr>
        <w:spacing w:after="0" w:line="176"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The market served by the Company is characterized by rapid technological change, increasingly precise customer specifications and global service requirements. The Company's future operating results may be affected inherent uncertainties characteristic of the worldwide semiconductor equipment include, but are not limited to, the development of new technologies, the anticipated transition to a new generation of microprocessors, competitive pricing pressures,</w:t>
      </w:r>
    </w:p>
    <w:p>
      <w:pPr>
        <w:spacing w:after="0" w:line="1" w:lineRule="exact"/>
        <w:rPr>
          <w:sz w:val="20"/>
          <w:szCs w:val="20"/>
          <w:color w:val="auto"/>
        </w:rPr>
      </w:pPr>
    </w:p>
    <w:p>
      <w:pPr>
        <w:ind w:right="3599"/>
        <w:spacing w:after="0" w:line="241" w:lineRule="auto"/>
        <w:rPr>
          <w:sz w:val="20"/>
          <w:szCs w:val="20"/>
          <w:color w:val="auto"/>
        </w:rPr>
      </w:pPr>
      <w:r>
        <w:rPr>
          <w:rFonts w:ascii="Courier New" w:cs="Courier New" w:eastAsia="Courier New" w:hAnsi="Courier New"/>
          <w:sz w:val="15"/>
          <w:szCs w:val="15"/>
          <w:color w:val="auto"/>
        </w:rPr>
        <w:t>global economic conditions, and the availability of needed components. Accordingly, recent historical operating results should be only one factor in evaluating the future financial performance of the Company.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 Liquidity and Capital Resources</w:t>
      </w:r>
    </w:p>
    <w:p>
      <w:pPr>
        <w:sectPr>
          <w:pgSz w:w="11900" w:h="16851" w:orient="portrait"/>
          <w:cols w:equalWidth="0" w:num="1">
            <w:col w:w="10219"/>
          </w:cols>
          <w:pgMar w:left="240" w:top="140" w:right="1440" w:bottom="0" w:gutter="0" w:footer="0" w:header="0"/>
        </w:sectPr>
      </w:pPr>
    </w:p>
    <w:bookmarkStart w:id="4" w:name="page5"/>
    <w:bookmarkEnd w:id="4"/>
    <w:p>
      <w:pPr>
        <w:spacing w:after="0" w:line="13"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The Company's financial condition at May 1, 1994 remained strong. Total current assets exceeded total current liabilities by 2.4 times, compared to 2.0</w:t>
      </w:r>
    </w:p>
    <w:p>
      <w:pPr>
        <w:spacing w:after="0" w:line="4" w:lineRule="exact"/>
        <w:rPr>
          <w:sz w:val="20"/>
          <w:szCs w:val="20"/>
          <w:color w:val="auto"/>
        </w:rPr>
      </w:pPr>
    </w:p>
    <w:p>
      <w:pPr>
        <w:jc w:val="both"/>
        <w:ind w:right="3599"/>
        <w:spacing w:after="0" w:line="241" w:lineRule="auto"/>
        <w:rPr>
          <w:sz w:val="20"/>
          <w:szCs w:val="20"/>
          <w:color w:val="auto"/>
        </w:rPr>
      </w:pPr>
      <w:r>
        <w:rPr>
          <w:rFonts w:ascii="Courier New" w:cs="Courier New" w:eastAsia="Courier New" w:hAnsi="Courier New"/>
          <w:sz w:val="15"/>
          <w:szCs w:val="15"/>
          <w:color w:val="auto"/>
        </w:rPr>
        <w:t>at October 31, 1993. During the first two quarters of fiscal 1994, cash, cash equivalents, and short-term investments increased $62.9 million, due primarily to the Company's sale of 2.3 million shares of common stock in</w:t>
      </w:r>
    </w:p>
    <w:p>
      <w:pPr>
        <w:spacing w:after="0" w:line="2" w:lineRule="exact"/>
        <w:rPr>
          <w:sz w:val="20"/>
          <w:szCs w:val="20"/>
          <w:color w:val="auto"/>
        </w:rPr>
      </w:pPr>
    </w:p>
    <w:p>
      <w:pPr>
        <w:spacing w:after="0"/>
        <w:tabs>
          <w:tab w:leader="none" w:pos="3200" w:val="left"/>
        </w:tabs>
        <w:rPr>
          <w:sz w:val="20"/>
          <w:szCs w:val="20"/>
          <w:color w:val="auto"/>
        </w:rPr>
      </w:pPr>
      <w:r>
        <w:rPr>
          <w:rFonts w:ascii="Courier New" w:cs="Courier New" w:eastAsia="Courier New" w:hAnsi="Courier New"/>
          <w:sz w:val="15"/>
          <w:szCs w:val="15"/>
          <w:color w:val="auto"/>
        </w:rPr>
        <w:t>the second quarter of fiscal 1994.</w:t>
      </w:r>
      <w:r>
        <w:rPr>
          <w:sz w:val="20"/>
          <w:szCs w:val="20"/>
          <w:color w:val="auto"/>
        </w:rPr>
        <w:tab/>
      </w:r>
      <w:r>
        <w:rPr>
          <w:rFonts w:ascii="Courier New" w:cs="Courier New" w:eastAsia="Courier New" w:hAnsi="Courier New"/>
          <w:sz w:val="14"/>
          <w:szCs w:val="14"/>
          <w:color w:val="auto"/>
        </w:rPr>
        <w:t>Cash provided by operations since October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 1993 totaled $18.3 million, resulting primarily from net income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increases in accounts payable and accrued expenses, partially offset by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increased inventory and accounts receivable levels. The increase in accounts</w:t>
      </w:r>
    </w:p>
    <w:p>
      <w:pPr>
        <w:spacing w:after="0" w:line="2" w:lineRule="exact"/>
        <w:rPr>
          <w:sz w:val="20"/>
          <w:szCs w:val="20"/>
          <w:color w:val="auto"/>
        </w:rPr>
      </w:pPr>
    </w:p>
    <w:p>
      <w:pPr>
        <w:spacing w:after="0"/>
        <w:tabs>
          <w:tab w:leader="none" w:pos="5880" w:val="left"/>
        </w:tabs>
        <w:rPr>
          <w:sz w:val="20"/>
          <w:szCs w:val="20"/>
          <w:color w:val="auto"/>
        </w:rPr>
      </w:pPr>
      <w:r>
        <w:rPr>
          <w:rFonts w:ascii="Courier New" w:cs="Courier New" w:eastAsia="Courier New" w:hAnsi="Courier New"/>
          <w:sz w:val="15"/>
          <w:szCs w:val="15"/>
          <w:color w:val="auto"/>
        </w:rPr>
        <w:t>receivable was due to increased net sales over the prior period.</w:t>
      </w:r>
      <w:r>
        <w:rPr>
          <w:sz w:val="20"/>
          <w:szCs w:val="20"/>
          <w:color w:val="auto"/>
        </w:rPr>
        <w:tab/>
      </w:r>
      <w:r>
        <w:rPr>
          <w:rFonts w:ascii="Courier New" w:cs="Courier New" w:eastAsia="Courier New" w:hAnsi="Courier New"/>
          <w:sz w:val="14"/>
          <w:szCs w:val="14"/>
          <w:color w:val="auto"/>
        </w:rPr>
        <w:t>Inventory</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levels have increased in order to fulfill customer orders scheduled for</w:t>
      </w:r>
    </w:p>
    <w:p>
      <w:pPr>
        <w:spacing w:after="0" w:line="2" w:lineRule="exact"/>
        <w:rPr>
          <w:sz w:val="20"/>
          <w:szCs w:val="20"/>
          <w:color w:val="auto"/>
        </w:rPr>
      </w:pPr>
    </w:p>
    <w:p>
      <w:pPr>
        <w:spacing w:after="0"/>
        <w:tabs>
          <w:tab w:leader="none" w:pos="4180" w:val="left"/>
        </w:tabs>
        <w:rPr>
          <w:sz w:val="20"/>
          <w:szCs w:val="20"/>
          <w:color w:val="auto"/>
        </w:rPr>
      </w:pPr>
      <w:r>
        <w:rPr>
          <w:rFonts w:ascii="Courier New" w:cs="Courier New" w:eastAsia="Courier New" w:hAnsi="Courier New"/>
          <w:sz w:val="15"/>
          <w:szCs w:val="15"/>
          <w:color w:val="auto"/>
        </w:rPr>
        <w:t>delivery in the third quarter of fiscal 1994.</w:t>
      </w:r>
      <w:r>
        <w:rPr>
          <w:sz w:val="20"/>
          <w:szCs w:val="20"/>
          <w:color w:val="auto"/>
        </w:rPr>
        <w:tab/>
      </w:r>
      <w:r>
        <w:rPr>
          <w:rFonts w:ascii="Courier New" w:cs="Courier New" w:eastAsia="Courier New" w:hAnsi="Courier New"/>
          <w:sz w:val="14"/>
          <w:szCs w:val="14"/>
          <w:color w:val="auto"/>
        </w:rPr>
        <w:t>Other uses of cash include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 in facilities and capital equipment of $59.6 million and</w:t>
      </w:r>
    </w:p>
    <w:p>
      <w:pPr>
        <w:spacing w:after="0" w:line="2" w:lineRule="exact"/>
        <w:rPr>
          <w:sz w:val="20"/>
          <w:szCs w:val="20"/>
          <w:color w:val="auto"/>
        </w:rPr>
      </w:pPr>
    </w:p>
    <w:p>
      <w:pPr>
        <w:spacing w:after="0"/>
        <w:tabs>
          <w:tab w:leader="none" w:pos="3460" w:val="left"/>
        </w:tabs>
        <w:rPr>
          <w:sz w:val="20"/>
          <w:szCs w:val="20"/>
          <w:color w:val="auto"/>
        </w:rPr>
      </w:pPr>
      <w:r>
        <w:rPr>
          <w:rFonts w:ascii="Courier New" w:cs="Courier New" w:eastAsia="Courier New" w:hAnsi="Courier New"/>
          <w:sz w:val="15"/>
          <w:szCs w:val="15"/>
          <w:color w:val="auto"/>
        </w:rPr>
        <w:t>borrowing reductions of $9.3 million.</w:t>
      </w:r>
      <w:r>
        <w:rPr>
          <w:sz w:val="20"/>
          <w:szCs w:val="20"/>
          <w:color w:val="auto"/>
        </w:rPr>
        <w:tab/>
      </w:r>
      <w:r>
        <w:rPr>
          <w:rFonts w:ascii="Courier New" w:cs="Courier New" w:eastAsia="Courier New" w:hAnsi="Courier New"/>
          <w:sz w:val="14"/>
          <w:szCs w:val="14"/>
          <w:color w:val="auto"/>
        </w:rPr>
        <w:t>Capital expenditures are expected to be</w:t>
      </w:r>
    </w:p>
    <w:p>
      <w:pPr>
        <w:spacing w:after="0" w:line="2" w:lineRule="exact"/>
        <w:rPr>
          <w:sz w:val="20"/>
          <w:szCs w:val="20"/>
          <w:color w:val="auto"/>
        </w:rPr>
      </w:pPr>
    </w:p>
    <w:p>
      <w:pPr>
        <w:spacing w:after="0"/>
        <w:tabs>
          <w:tab w:leader="none" w:pos="4440" w:val="left"/>
        </w:tabs>
        <w:rPr>
          <w:sz w:val="20"/>
          <w:szCs w:val="20"/>
          <w:color w:val="auto"/>
        </w:rPr>
      </w:pPr>
      <w:r>
        <w:rPr>
          <w:rFonts w:ascii="Courier New" w:cs="Courier New" w:eastAsia="Courier New" w:hAnsi="Courier New"/>
          <w:sz w:val="15"/>
          <w:szCs w:val="15"/>
          <w:color w:val="auto"/>
        </w:rPr>
        <w:t>approximately $180 million for fiscal year 1994.</w:t>
      </w:r>
      <w:r>
        <w:rPr>
          <w:sz w:val="20"/>
          <w:szCs w:val="20"/>
          <w:color w:val="auto"/>
        </w:rPr>
        <w:tab/>
      </w:r>
      <w:r>
        <w:rPr>
          <w:rFonts w:ascii="Courier New" w:cs="Courier New" w:eastAsia="Courier New" w:hAnsi="Courier New"/>
          <w:sz w:val="14"/>
          <w:szCs w:val="14"/>
          <w:color w:val="auto"/>
        </w:rPr>
        <w:t>This amount has increased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due to greater than anticipated growth requiring additional funds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 expansion, investments in demonstration and test equipment,</w:t>
      </w:r>
    </w:p>
    <w:p>
      <w:pPr>
        <w:spacing w:after="0" w:line="2" w:lineRule="exact"/>
        <w:rPr>
          <w:sz w:val="20"/>
          <w:szCs w:val="20"/>
          <w:color w:val="auto"/>
        </w:rPr>
      </w:pPr>
    </w:p>
    <w:p>
      <w:pPr>
        <w:spacing w:after="0"/>
        <w:tabs>
          <w:tab w:leader="none" w:pos="4720" w:val="left"/>
        </w:tabs>
        <w:rPr>
          <w:sz w:val="20"/>
          <w:szCs w:val="20"/>
          <w:color w:val="auto"/>
        </w:rPr>
      </w:pPr>
      <w:r>
        <w:rPr>
          <w:rFonts w:ascii="Courier New" w:cs="Courier New" w:eastAsia="Courier New" w:hAnsi="Courier New"/>
          <w:sz w:val="15"/>
          <w:szCs w:val="15"/>
          <w:color w:val="auto"/>
        </w:rPr>
        <w:t>information systems and other capital expenditures.</w:t>
      </w:r>
      <w:r>
        <w:rPr>
          <w:sz w:val="20"/>
          <w:szCs w:val="20"/>
          <w:color w:val="auto"/>
        </w:rPr>
        <w:tab/>
      </w:r>
      <w:r>
        <w:rPr>
          <w:rFonts w:ascii="Courier New" w:cs="Courier New" w:eastAsia="Courier New" w:hAnsi="Courier New"/>
          <w:sz w:val="14"/>
          <w:szCs w:val="14"/>
          <w:color w:val="auto"/>
        </w:rPr>
        <w:t>The Company must continue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manage its manufacturing capacity to ensure that customer demands will be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w:t>
      </w:r>
    </w:p>
    <w:p>
      <w:pPr>
        <w:spacing w:after="0" w:line="176" w:lineRule="exact"/>
        <w:rPr>
          <w:sz w:val="20"/>
          <w:szCs w:val="20"/>
          <w:color w:val="auto"/>
        </w:rPr>
      </w:pPr>
    </w:p>
    <w:p>
      <w:pPr>
        <w:ind w:right="3699"/>
        <w:spacing w:after="0"/>
        <w:rPr>
          <w:sz w:val="20"/>
          <w:szCs w:val="20"/>
          <w:color w:val="auto"/>
        </w:rPr>
      </w:pPr>
      <w:r>
        <w:rPr>
          <w:rFonts w:ascii="Courier New" w:cs="Courier New" w:eastAsia="Courier New" w:hAnsi="Courier New"/>
          <w:sz w:val="15"/>
          <w:szCs w:val="15"/>
          <w:color w:val="auto"/>
        </w:rPr>
        <w:t>At May 1, 1994, the Company's principal sources of liquidity consisted of $329.1 million of cash and short-term investments and $130.4 million</w:t>
      </w:r>
    </w:p>
    <w:p>
      <w:pPr>
        <w:spacing w:after="0" w:line="4" w:lineRule="exact"/>
        <w:rPr>
          <w:sz w:val="20"/>
          <w:szCs w:val="20"/>
          <w:color w:val="auto"/>
        </w:rPr>
      </w:pPr>
    </w:p>
    <w:p>
      <w:pPr>
        <w:ind w:right="3599"/>
        <w:spacing w:after="0" w:line="241" w:lineRule="auto"/>
        <w:rPr>
          <w:sz w:val="20"/>
          <w:szCs w:val="20"/>
          <w:color w:val="auto"/>
        </w:rPr>
      </w:pPr>
      <w:r>
        <w:rPr>
          <w:rFonts w:ascii="Courier New" w:cs="Courier New" w:eastAsia="Courier New" w:hAnsi="Courier New"/>
          <w:sz w:val="15"/>
          <w:szCs w:val="15"/>
          <w:color w:val="auto"/>
        </w:rPr>
        <w:t>in available U.S. and foreign credit facilities. In addition, the Company filed a shelf registration with the Securities and Exchange Commission during the second quarter of fiscal 1994 for the</w:t>
      </w:r>
    </w:p>
    <w:p>
      <w:pPr>
        <w:spacing w:after="0" w:line="4"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sale of common stock and issuance of debt securities. The sale of 2.3 million shares of common stock occurred in the second quarter of fiscal 1994</w:t>
      </w:r>
    </w:p>
    <w:p>
      <w:pPr>
        <w:spacing w:after="0" w:line="4"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and no assurances can be given that the sale of debt securities will occur. The Company's liquidity is affected by many factors, some based on the typical on-going operations of the business and others related to the uncertainties of the industry and global economies. Although the Company's cash requirements will fluctuate based on the timing and extent of these factors, management believes that cash generated from operations, together</w:t>
      </w:r>
    </w:p>
    <w:p>
      <w:pPr>
        <w:spacing w:after="0" w:line="4" w:lineRule="exact"/>
        <w:rPr>
          <w:sz w:val="20"/>
          <w:szCs w:val="20"/>
          <w:color w:val="auto"/>
        </w:rPr>
      </w:pPr>
    </w:p>
    <w:p>
      <w:pPr>
        <w:jc w:val="both"/>
        <w:ind w:right="3519"/>
        <w:spacing w:after="0" w:line="241" w:lineRule="auto"/>
        <w:rPr>
          <w:sz w:val="20"/>
          <w:szCs w:val="20"/>
          <w:color w:val="auto"/>
        </w:rPr>
      </w:pPr>
      <w:r>
        <w:rPr>
          <w:rFonts w:ascii="Courier New" w:cs="Courier New" w:eastAsia="Courier New" w:hAnsi="Courier New"/>
          <w:sz w:val="15"/>
          <w:szCs w:val="15"/>
          <w:color w:val="auto"/>
        </w:rPr>
        <w:t>with the liquidity provided by existing cash balances and current borrowing arrangements, will be sufficient to support operations through fiscal year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74"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76" w:lineRule="exact"/>
        <w:rPr>
          <w:sz w:val="20"/>
          <w:szCs w:val="20"/>
          <w:color w:val="auto"/>
        </w:rPr>
      </w:pPr>
    </w:p>
    <w:p>
      <w:pPr>
        <w:ind w:left="80" w:right="3159" w:firstLine="626"/>
        <w:spacing w:after="0" w:line="241" w:lineRule="auto"/>
        <w:rPr>
          <w:sz w:val="20"/>
          <w:szCs w:val="20"/>
          <w:color w:val="auto"/>
        </w:rPr>
      </w:pPr>
      <w:r>
        <w:rPr>
          <w:rFonts w:ascii="Courier New" w:cs="Courier New" w:eastAsia="Courier New" w:hAnsi="Courier New"/>
          <w:sz w:val="15"/>
          <w:szCs w:val="15"/>
          <w:color w:val="auto"/>
        </w:rPr>
        <w:t>In the first of two lawsuits filed by the Company against Advanced Semiconductor Materials, Inc., Epsilon Technology, Inc. (doing business as ASM Epitaxy) and Advanced Semiconductor Materials International</w:t>
      </w:r>
    </w:p>
    <w:p>
      <w:pPr>
        <w:spacing w:after="0" w:line="4" w:lineRule="exact"/>
        <w:rPr>
          <w:sz w:val="20"/>
          <w:szCs w:val="20"/>
          <w:color w:val="auto"/>
        </w:rPr>
      </w:pPr>
    </w:p>
    <w:p>
      <w:pPr>
        <w:ind w:left="80" w:right="3439"/>
        <w:spacing w:after="0"/>
        <w:rPr>
          <w:sz w:val="20"/>
          <w:szCs w:val="20"/>
          <w:color w:val="auto"/>
        </w:rPr>
      </w:pPr>
      <w:r>
        <w:rPr>
          <w:rFonts w:ascii="Courier New" w:cs="Courier New" w:eastAsia="Courier New" w:hAnsi="Courier New"/>
          <w:sz w:val="15"/>
          <w:szCs w:val="15"/>
          <w:color w:val="auto"/>
        </w:rPr>
        <w:t>N.V. (the defendants, together, hereafter referred to as "ASM"), described in the Company's Annual Report on Form 10-K for its fiscal year</w:t>
      </w:r>
    </w:p>
    <w:p>
      <w:pPr>
        <w:spacing w:after="0" w:line="4" w:lineRule="exact"/>
        <w:rPr>
          <w:sz w:val="20"/>
          <w:szCs w:val="20"/>
          <w:color w:val="auto"/>
        </w:rPr>
      </w:pPr>
    </w:p>
    <w:p>
      <w:pPr>
        <w:ind w:left="80" w:right="3519"/>
        <w:spacing w:after="0"/>
        <w:rPr>
          <w:sz w:val="20"/>
          <w:szCs w:val="20"/>
          <w:color w:val="auto"/>
        </w:rPr>
      </w:pPr>
      <w:r>
        <w:rPr>
          <w:rFonts w:ascii="Courier New" w:cs="Courier New" w:eastAsia="Courier New" w:hAnsi="Courier New"/>
          <w:sz w:val="15"/>
          <w:szCs w:val="15"/>
          <w:color w:val="auto"/>
        </w:rPr>
        <w:t>ended October 31, 1993, Judge William Ingram of the United States District Court for the Northern District of California in San Jose</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issued his decision from the trial which had concluded in August 1993.</w:t>
      </w:r>
    </w:p>
    <w:p>
      <w:pPr>
        <w:spacing w:after="0" w:line="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Judge Ingram found that, of the five patents which the Company</w:t>
      </w:r>
    </w:p>
    <w:p>
      <w:pPr>
        <w:spacing w:after="0" w:line="4" w:lineRule="exact"/>
        <w:rPr>
          <w:sz w:val="20"/>
          <w:szCs w:val="20"/>
          <w:color w:val="auto"/>
        </w:rPr>
      </w:pPr>
    </w:p>
    <w:p>
      <w:pPr>
        <w:ind w:left="80" w:right="3259"/>
        <w:spacing w:after="0"/>
        <w:rPr>
          <w:sz w:val="20"/>
          <w:szCs w:val="20"/>
          <w:color w:val="auto"/>
        </w:rPr>
      </w:pPr>
      <w:r>
        <w:rPr>
          <w:rFonts w:ascii="Courier New" w:cs="Courier New" w:eastAsia="Courier New" w:hAnsi="Courier New"/>
          <w:sz w:val="15"/>
          <w:szCs w:val="15"/>
          <w:color w:val="auto"/>
        </w:rPr>
        <w:t>had asserted against the ASM Epsilon One epitaxial reactor, three patents are infringed, one is not infringed, and one is invalid. Of the patents</w:t>
      </w:r>
    </w:p>
    <w:p>
      <w:pPr>
        <w:spacing w:after="0" w:line="4" w:lineRule="exact"/>
        <w:rPr>
          <w:sz w:val="20"/>
          <w:szCs w:val="20"/>
          <w:color w:val="auto"/>
        </w:rPr>
      </w:pPr>
    </w:p>
    <w:p>
      <w:pPr>
        <w:ind w:left="80" w:right="3339"/>
        <w:spacing w:after="0" w:line="242" w:lineRule="auto"/>
        <w:rPr>
          <w:sz w:val="20"/>
          <w:szCs w:val="20"/>
          <w:color w:val="auto"/>
        </w:rPr>
      </w:pPr>
      <w:r>
        <w:rPr>
          <w:rFonts w:ascii="Courier New" w:cs="Courier New" w:eastAsia="Courier New" w:hAnsi="Courier New"/>
          <w:sz w:val="15"/>
          <w:szCs w:val="15"/>
          <w:color w:val="auto"/>
        </w:rPr>
        <w:t>which the court found are infringed, two remain effective until 2002 and 2005, respectively, and one is expired. The Company is seeking an injunction against further sales of the Epsilon One by ASM. ASM is expected to appeal the Court's decision and seek a stay of any injunction which may be issued. The damages to which the Company is entitled</w:t>
      </w:r>
    </w:p>
    <w:p>
      <w:pPr>
        <w:spacing w:after="0" w:line="3" w:lineRule="exact"/>
        <w:rPr>
          <w:sz w:val="20"/>
          <w:szCs w:val="20"/>
          <w:color w:val="auto"/>
        </w:rPr>
      </w:pPr>
    </w:p>
    <w:p>
      <w:pPr>
        <w:ind w:left="80" w:right="3339"/>
        <w:spacing w:after="0" w:line="242" w:lineRule="auto"/>
        <w:rPr>
          <w:sz w:val="20"/>
          <w:szCs w:val="20"/>
          <w:color w:val="auto"/>
        </w:rPr>
      </w:pPr>
      <w:r>
        <w:rPr>
          <w:rFonts w:ascii="Courier New" w:cs="Courier New" w:eastAsia="Courier New" w:hAnsi="Courier New"/>
          <w:sz w:val="15"/>
          <w:szCs w:val="15"/>
          <w:color w:val="auto"/>
        </w:rPr>
        <w:t>as a result of ASM's infringement, as well as ASM's counterclaims, will be decided at a later date in separate proceedings. The Company believes that ASM's counterclaims are not meritorious in view of the Court's decision that the Company's patents are infringed.</w:t>
      </w:r>
    </w:p>
    <w:p>
      <w:pPr>
        <w:spacing w:after="0" w:line="175" w:lineRule="exact"/>
        <w:rPr>
          <w:sz w:val="20"/>
          <w:szCs w:val="20"/>
          <w:color w:val="auto"/>
        </w:rPr>
      </w:pPr>
    </w:p>
    <w:p>
      <w:pPr>
        <w:ind w:left="80" w:right="2979" w:firstLine="626"/>
        <w:spacing w:after="0" w:line="241" w:lineRule="auto"/>
        <w:rPr>
          <w:sz w:val="20"/>
          <w:szCs w:val="20"/>
          <w:color w:val="auto"/>
        </w:rPr>
      </w:pPr>
      <w:r>
        <w:rPr>
          <w:rFonts w:ascii="Courier New" w:cs="Courier New" w:eastAsia="Courier New" w:hAnsi="Courier New"/>
          <w:sz w:val="15"/>
          <w:szCs w:val="15"/>
          <w:color w:val="auto"/>
        </w:rPr>
        <w:t>In the second of the two suits filed by the Company against ASM described in the Company's 10-K for fiscal year 1993, the Company was successful in obtaining an order of the Court dismissing, striking,</w:t>
      </w:r>
    </w:p>
    <w:p>
      <w:pPr>
        <w:spacing w:after="0" w:line="4" w:lineRule="exact"/>
        <w:rPr>
          <w:sz w:val="20"/>
          <w:szCs w:val="20"/>
          <w:color w:val="auto"/>
        </w:rPr>
      </w:pPr>
    </w:p>
    <w:p>
      <w:pPr>
        <w:ind w:left="80" w:right="3159"/>
        <w:spacing w:after="0" w:line="242" w:lineRule="auto"/>
        <w:rPr>
          <w:sz w:val="20"/>
          <w:szCs w:val="20"/>
          <w:color w:val="auto"/>
        </w:rPr>
      </w:pPr>
      <w:r>
        <w:rPr>
          <w:rFonts w:ascii="Courier New" w:cs="Courier New" w:eastAsia="Courier New" w:hAnsi="Courier New"/>
          <w:sz w:val="15"/>
          <w:szCs w:val="15"/>
          <w:color w:val="auto"/>
        </w:rPr>
        <w:t>or eliminating from the suit, certain affirmative defenses and counterclaims asserted by ASM. The dismissed defenses and counter claims alleged that the Company obtained the patent which it is asserting against ASM in this suit by "inequitable conduct." The Court ruled as a matter of law that the Company did not engage in inequitable conduct.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Security-Holders.</w:t>
      </w:r>
    </w:p>
    <w:p>
      <w:pPr>
        <w:spacing w:after="0" w:line="176" w:lineRule="exact"/>
        <w:rPr>
          <w:sz w:val="20"/>
          <w:szCs w:val="20"/>
          <w:color w:val="auto"/>
        </w:rPr>
      </w:pPr>
    </w:p>
    <w:p>
      <w:pPr>
        <w:ind w:right="3699"/>
        <w:spacing w:after="0" w:line="242" w:lineRule="auto"/>
        <w:rPr>
          <w:sz w:val="20"/>
          <w:szCs w:val="20"/>
          <w:color w:val="auto"/>
        </w:rPr>
      </w:pPr>
      <w:r>
        <w:rPr>
          <w:rFonts w:ascii="Courier New" w:cs="Courier New" w:eastAsia="Courier New" w:hAnsi="Courier New"/>
          <w:sz w:val="15"/>
          <w:szCs w:val="15"/>
          <w:color w:val="auto"/>
        </w:rPr>
        <w:t>The Annual Meeting of Stockholders was held March 3, 1994 in Santa Clara, California. All nine incumbent directors were re-elected without opposition to serve another one year term in office. In addition, Michael Armacost was elected to the Board of Directors. The result of this election was as follows:</w:t>
      </w:r>
    </w:p>
    <w:p>
      <w:pPr>
        <w:spacing w:after="0" w:line="174"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2280" w:type="dxa"/>
            <w:vAlign w:val="bottom"/>
          </w:tcPr>
          <w:p>
            <w:pPr>
              <w:spacing w:after="0"/>
              <w:rPr>
                <w:sz w:val="20"/>
                <w:szCs w:val="20"/>
                <w:color w:val="auto"/>
              </w:rPr>
            </w:pPr>
            <w:r>
              <w:rPr>
                <w:rFonts w:ascii="Courier New" w:cs="Courier New" w:eastAsia="Courier New" w:hAnsi="Courier New"/>
                <w:sz w:val="15"/>
                <w:szCs w:val="15"/>
                <w:color w:val="auto"/>
              </w:rPr>
              <w:t>Name of Director</w:t>
            </w:r>
          </w:p>
        </w:tc>
        <w:tc>
          <w:tcPr>
            <w:tcW w:w="2020" w:type="dxa"/>
            <w:vAlign w:val="bottom"/>
          </w:tcPr>
          <w:p>
            <w:pPr>
              <w:spacing w:after="0"/>
              <w:rPr>
                <w:sz w:val="14"/>
                <w:szCs w:val="14"/>
                <w:color w:val="auto"/>
              </w:rPr>
            </w:pPr>
          </w:p>
        </w:tc>
        <w:tc>
          <w:tcPr>
            <w:tcW w:w="2460" w:type="dxa"/>
            <w:vAlign w:val="bottom"/>
          </w:tcPr>
          <w:p>
            <w:pPr>
              <w:ind w:left="720"/>
              <w:spacing w:after="0"/>
              <w:rPr>
                <w:sz w:val="20"/>
                <w:szCs w:val="20"/>
                <w:color w:val="auto"/>
              </w:rPr>
            </w:pPr>
            <w:r>
              <w:rPr>
                <w:rFonts w:ascii="Courier New" w:cs="Courier New" w:eastAsia="Courier New" w:hAnsi="Courier New"/>
                <w:sz w:val="15"/>
                <w:szCs w:val="15"/>
                <w:color w:val="auto"/>
              </w:rPr>
              <w:t>Votes For</w:t>
            </w:r>
          </w:p>
        </w:tc>
        <w:tc>
          <w:tcPr>
            <w:tcW w:w="1660" w:type="dxa"/>
            <w:vAlign w:val="bottom"/>
          </w:tcPr>
          <w:p>
            <w:pPr>
              <w:ind w:left="400"/>
              <w:spacing w:after="0"/>
              <w:rPr>
                <w:sz w:val="20"/>
                <w:szCs w:val="20"/>
                <w:color w:val="auto"/>
              </w:rPr>
            </w:pPr>
            <w:r>
              <w:rPr>
                <w:rFonts w:ascii="Courier New" w:cs="Courier New" w:eastAsia="Courier New" w:hAnsi="Courier New"/>
                <w:sz w:val="15"/>
                <w:szCs w:val="15"/>
                <w:color w:val="auto"/>
                <w:w w:val="98"/>
              </w:rPr>
              <w:t>Votes Withheld</w:t>
            </w:r>
          </w:p>
        </w:tc>
      </w:tr>
      <w:tr>
        <w:trPr>
          <w:trHeight w:val="344"/>
        </w:trPr>
        <w:tc>
          <w:tcPr>
            <w:tcW w:w="2280" w:type="dxa"/>
            <w:vAlign w:val="bottom"/>
          </w:tcPr>
          <w:p>
            <w:pPr>
              <w:spacing w:after="0"/>
              <w:rPr>
                <w:sz w:val="20"/>
                <w:szCs w:val="20"/>
                <w:color w:val="auto"/>
              </w:rPr>
            </w:pPr>
            <w:r>
              <w:rPr>
                <w:rFonts w:ascii="Courier New" w:cs="Courier New" w:eastAsia="Courier New" w:hAnsi="Courier New"/>
                <w:sz w:val="15"/>
                <w:szCs w:val="15"/>
                <w:color w:val="auto"/>
              </w:rPr>
              <w:t>James C. Morgan</w:t>
            </w:r>
          </w:p>
        </w:tc>
        <w:tc>
          <w:tcPr>
            <w:tcW w:w="20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56,627,066</w:t>
            </w:r>
          </w:p>
        </w:tc>
        <w:tc>
          <w:tcPr>
            <w:tcW w:w="2460" w:type="dxa"/>
            <w:vAlign w:val="bottom"/>
          </w:tcPr>
          <w:p>
            <w:pPr>
              <w:ind w:left="180"/>
              <w:spacing w:after="0"/>
              <w:rPr>
                <w:sz w:val="20"/>
                <w:szCs w:val="20"/>
                <w:color w:val="auto"/>
              </w:rPr>
            </w:pPr>
            <w:r>
              <w:rPr>
                <w:rFonts w:ascii="Courier New" w:cs="Courier New" w:eastAsia="Courier New" w:hAnsi="Courier New"/>
                <w:sz w:val="15"/>
                <w:szCs w:val="15"/>
                <w:color w:val="auto"/>
              </w:rPr>
              <w:t>279,874</w:t>
            </w:r>
          </w:p>
        </w:tc>
        <w:tc>
          <w:tcPr>
            <w:tcW w:w="1660" w:type="dxa"/>
            <w:vAlign w:val="bottom"/>
          </w:tcPr>
          <w:p>
            <w:pPr>
              <w:spacing w:after="0"/>
              <w:rPr>
                <w:sz w:val="24"/>
                <w:szCs w:val="24"/>
                <w:color w:val="auto"/>
              </w:rPr>
            </w:pP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James W. Bagley</w:t>
            </w:r>
          </w:p>
        </w:tc>
        <w:tc>
          <w:tcPr>
            <w:tcW w:w="20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56,627,282</w:t>
            </w:r>
          </w:p>
        </w:tc>
        <w:tc>
          <w:tcPr>
            <w:tcW w:w="2460" w:type="dxa"/>
            <w:vAlign w:val="bottom"/>
          </w:tcPr>
          <w:p>
            <w:pPr>
              <w:ind w:left="720"/>
              <w:spacing w:after="0"/>
              <w:rPr>
                <w:sz w:val="20"/>
                <w:szCs w:val="20"/>
                <w:color w:val="auto"/>
              </w:rPr>
            </w:pPr>
            <w:r>
              <w:rPr>
                <w:rFonts w:ascii="Courier New" w:cs="Courier New" w:eastAsia="Courier New" w:hAnsi="Courier New"/>
                <w:sz w:val="15"/>
                <w:szCs w:val="15"/>
                <w:color w:val="auto"/>
              </w:rPr>
              <w:t>279,658</w:t>
            </w:r>
          </w:p>
        </w:tc>
        <w:tc>
          <w:tcPr>
            <w:tcW w:w="1660" w:type="dxa"/>
            <w:vAlign w:val="bottom"/>
          </w:tcPr>
          <w:p>
            <w:pPr>
              <w:spacing w:after="0"/>
              <w:rPr>
                <w:sz w:val="14"/>
                <w:szCs w:val="14"/>
                <w:color w:val="auto"/>
              </w:rPr>
            </w:pP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Dan Maydan</w:t>
            </w:r>
          </w:p>
        </w:tc>
        <w:tc>
          <w:tcPr>
            <w:tcW w:w="20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56,627,262</w:t>
            </w:r>
          </w:p>
        </w:tc>
        <w:tc>
          <w:tcPr>
            <w:tcW w:w="2460" w:type="dxa"/>
            <w:vAlign w:val="bottom"/>
          </w:tcPr>
          <w:p>
            <w:pPr>
              <w:ind w:left="900"/>
              <w:spacing w:after="0"/>
              <w:rPr>
                <w:sz w:val="20"/>
                <w:szCs w:val="20"/>
                <w:color w:val="auto"/>
              </w:rPr>
            </w:pPr>
            <w:r>
              <w:rPr>
                <w:rFonts w:ascii="Courier New" w:cs="Courier New" w:eastAsia="Courier New" w:hAnsi="Courier New"/>
                <w:sz w:val="15"/>
                <w:szCs w:val="15"/>
                <w:color w:val="auto"/>
              </w:rPr>
              <w:t>279,678</w:t>
            </w:r>
          </w:p>
        </w:tc>
        <w:tc>
          <w:tcPr>
            <w:tcW w:w="1660" w:type="dxa"/>
            <w:vAlign w:val="bottom"/>
          </w:tcPr>
          <w:p>
            <w:pPr>
              <w:spacing w:after="0"/>
              <w:rPr>
                <w:sz w:val="14"/>
                <w:szCs w:val="14"/>
                <w:color w:val="auto"/>
              </w:rPr>
            </w:pP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Michael Armacost</w:t>
            </w:r>
          </w:p>
        </w:tc>
        <w:tc>
          <w:tcPr>
            <w:tcW w:w="2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56,627,282</w:t>
            </w:r>
          </w:p>
        </w:tc>
        <w:tc>
          <w:tcPr>
            <w:tcW w:w="2460" w:type="dxa"/>
            <w:vAlign w:val="bottom"/>
          </w:tcPr>
          <w:p>
            <w:pPr>
              <w:ind w:left="1440"/>
              <w:spacing w:after="0"/>
              <w:rPr>
                <w:sz w:val="20"/>
                <w:szCs w:val="20"/>
                <w:color w:val="auto"/>
              </w:rPr>
            </w:pPr>
            <w:r>
              <w:rPr>
                <w:rFonts w:ascii="Courier New" w:cs="Courier New" w:eastAsia="Courier New" w:hAnsi="Courier New"/>
                <w:sz w:val="15"/>
                <w:szCs w:val="15"/>
                <w:color w:val="auto"/>
              </w:rPr>
              <w:t>279,658</w:t>
            </w:r>
          </w:p>
        </w:tc>
        <w:tc>
          <w:tcPr>
            <w:tcW w:w="1660" w:type="dxa"/>
            <w:vAlign w:val="bottom"/>
          </w:tcPr>
          <w:p>
            <w:pPr>
              <w:spacing w:after="0"/>
              <w:rPr>
                <w:sz w:val="14"/>
                <w:szCs w:val="14"/>
                <w:color w:val="auto"/>
              </w:rPr>
            </w:pP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Herbert M. Dwight, Jr.</w:t>
            </w:r>
          </w:p>
        </w:tc>
        <w:tc>
          <w:tcPr>
            <w:tcW w:w="202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56,627,282</w:t>
            </w:r>
          </w:p>
        </w:tc>
        <w:tc>
          <w:tcPr>
            <w:tcW w:w="2460" w:type="dxa"/>
            <w:vAlign w:val="bottom"/>
          </w:tcPr>
          <w:p>
            <w:pPr>
              <w:ind w:left="720"/>
              <w:spacing w:after="0"/>
              <w:rPr>
                <w:sz w:val="20"/>
                <w:szCs w:val="20"/>
                <w:color w:val="auto"/>
              </w:rPr>
            </w:pPr>
            <w:r>
              <w:rPr>
                <w:rFonts w:ascii="Courier New" w:cs="Courier New" w:eastAsia="Courier New" w:hAnsi="Courier New"/>
                <w:sz w:val="15"/>
                <w:szCs w:val="15"/>
                <w:color w:val="auto"/>
              </w:rPr>
              <w:t>279,658</w:t>
            </w:r>
          </w:p>
        </w:tc>
        <w:tc>
          <w:tcPr>
            <w:tcW w:w="1660" w:type="dxa"/>
            <w:vAlign w:val="bottom"/>
          </w:tcPr>
          <w:p>
            <w:pPr>
              <w:spacing w:after="0"/>
              <w:rPr>
                <w:sz w:val="14"/>
                <w:szCs w:val="14"/>
                <w:color w:val="auto"/>
              </w:rPr>
            </w:pPr>
          </w:p>
        </w:tc>
      </w:tr>
      <w:tr>
        <w:trPr>
          <w:trHeight w:val="172"/>
        </w:trPr>
        <w:tc>
          <w:tcPr>
            <w:tcW w:w="2280" w:type="dxa"/>
            <w:vAlign w:val="bottom"/>
          </w:tcPr>
          <w:p>
            <w:pPr>
              <w:spacing w:after="0"/>
              <w:rPr>
                <w:sz w:val="20"/>
                <w:szCs w:val="20"/>
                <w:color w:val="auto"/>
              </w:rPr>
            </w:pPr>
            <w:r>
              <w:rPr>
                <w:rFonts w:ascii="Courier New" w:cs="Courier New" w:eastAsia="Courier New" w:hAnsi="Courier New"/>
                <w:sz w:val="15"/>
                <w:szCs w:val="15"/>
                <w:color w:val="auto"/>
              </w:rPr>
              <w:t>George B. Farnsworth</w:t>
            </w:r>
          </w:p>
        </w:tc>
        <w:tc>
          <w:tcPr>
            <w:tcW w:w="202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56,626,694</w:t>
            </w:r>
          </w:p>
        </w:tc>
        <w:tc>
          <w:tcPr>
            <w:tcW w:w="2460" w:type="dxa"/>
            <w:vAlign w:val="bottom"/>
          </w:tcPr>
          <w:p>
            <w:pPr>
              <w:ind w:left="720"/>
              <w:spacing w:after="0"/>
              <w:rPr>
                <w:sz w:val="20"/>
                <w:szCs w:val="20"/>
                <w:color w:val="auto"/>
              </w:rPr>
            </w:pPr>
            <w:r>
              <w:rPr>
                <w:rFonts w:ascii="Courier New" w:cs="Courier New" w:eastAsia="Courier New" w:hAnsi="Courier New"/>
                <w:sz w:val="15"/>
                <w:szCs w:val="15"/>
                <w:color w:val="auto"/>
              </w:rPr>
              <w:t>280,246</w:t>
            </w:r>
          </w:p>
        </w:tc>
        <w:tc>
          <w:tcPr>
            <w:tcW w:w="1660" w:type="dxa"/>
            <w:vAlign w:val="bottom"/>
          </w:tcPr>
          <w:p>
            <w:pPr>
              <w:spacing w:after="0"/>
              <w:rPr>
                <w:sz w:val="14"/>
                <w:szCs w:val="14"/>
                <w:color w:val="auto"/>
              </w:rPr>
            </w:pPr>
          </w:p>
        </w:tc>
      </w:tr>
    </w:tbl>
    <w:p>
      <w:pPr>
        <w:sectPr>
          <w:pgSz w:w="11900" w:h="16851" w:orient="portrait"/>
          <w:cols w:equalWidth="0" w:num="1">
            <w:col w:w="10219"/>
          </w:cols>
          <w:pgMar w:left="240" w:top="313" w:right="1440" w:bottom="0" w:gutter="0" w:footer="0" w:header="0"/>
        </w:sectPr>
      </w:pPr>
    </w:p>
    <w:bookmarkStart w:id="5" w:name="page6"/>
    <w:bookmarkEnd w:id="5"/>
    <w:p>
      <w:pPr>
        <w:spacing w:after="0" w:line="1"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2200" w:type="dxa"/>
            <w:vAlign w:val="bottom"/>
          </w:tcPr>
          <w:p>
            <w:pPr>
              <w:spacing w:after="0"/>
              <w:rPr>
                <w:sz w:val="20"/>
                <w:szCs w:val="20"/>
                <w:color w:val="auto"/>
              </w:rPr>
            </w:pPr>
            <w:r>
              <w:rPr>
                <w:rFonts w:ascii="Courier New" w:cs="Courier New" w:eastAsia="Courier New" w:hAnsi="Courier New"/>
                <w:sz w:val="15"/>
                <w:szCs w:val="15"/>
                <w:color w:val="auto"/>
              </w:rPr>
              <w:t>Philip V. Gerdine</w:t>
            </w:r>
          </w:p>
        </w:tc>
        <w:tc>
          <w:tcPr>
            <w:tcW w:w="22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56,627,282</w:t>
            </w:r>
          </w:p>
        </w:tc>
        <w:tc>
          <w:tcPr>
            <w:tcW w:w="13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279,658</w:t>
            </w:r>
          </w:p>
        </w:tc>
      </w:tr>
      <w:tr>
        <w:trPr>
          <w:trHeight w:val="172"/>
        </w:trPr>
        <w:tc>
          <w:tcPr>
            <w:tcW w:w="2200" w:type="dxa"/>
            <w:vAlign w:val="bottom"/>
          </w:tcPr>
          <w:p>
            <w:pPr>
              <w:spacing w:after="0"/>
              <w:rPr>
                <w:sz w:val="20"/>
                <w:szCs w:val="20"/>
                <w:color w:val="auto"/>
              </w:rPr>
            </w:pPr>
            <w:r>
              <w:rPr>
                <w:rFonts w:ascii="Courier New" w:cs="Courier New" w:eastAsia="Courier New" w:hAnsi="Courier New"/>
                <w:sz w:val="15"/>
                <w:szCs w:val="15"/>
                <w:color w:val="auto"/>
              </w:rPr>
              <w:t>Paul R. Low</w:t>
            </w:r>
          </w:p>
        </w:tc>
        <w:tc>
          <w:tcPr>
            <w:tcW w:w="224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56,624,682</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282,258</w:t>
            </w:r>
          </w:p>
        </w:tc>
      </w:tr>
      <w:tr>
        <w:trPr>
          <w:trHeight w:val="172"/>
        </w:trPr>
        <w:tc>
          <w:tcPr>
            <w:tcW w:w="2200" w:type="dxa"/>
            <w:vAlign w:val="bottom"/>
          </w:tcPr>
          <w:p>
            <w:pPr>
              <w:spacing w:after="0"/>
              <w:rPr>
                <w:sz w:val="20"/>
                <w:szCs w:val="20"/>
                <w:color w:val="auto"/>
              </w:rPr>
            </w:pPr>
            <w:r>
              <w:rPr>
                <w:rFonts w:ascii="Courier New" w:cs="Courier New" w:eastAsia="Courier New" w:hAnsi="Courier New"/>
                <w:sz w:val="15"/>
                <w:szCs w:val="15"/>
                <w:color w:val="auto"/>
              </w:rPr>
              <w:t>Alfred J. Stein</w:t>
            </w:r>
          </w:p>
        </w:tc>
        <w:tc>
          <w:tcPr>
            <w:tcW w:w="22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56,627,182</w:t>
            </w:r>
          </w:p>
        </w:tc>
        <w:tc>
          <w:tcPr>
            <w:tcW w:w="13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279,758</w:t>
            </w:r>
          </w:p>
        </w:tc>
      </w:tr>
      <w:tr>
        <w:trPr>
          <w:trHeight w:val="172"/>
        </w:trPr>
        <w:tc>
          <w:tcPr>
            <w:tcW w:w="2200" w:type="dxa"/>
            <w:vAlign w:val="bottom"/>
          </w:tcPr>
          <w:p>
            <w:pPr>
              <w:spacing w:after="0"/>
              <w:rPr>
                <w:sz w:val="20"/>
                <w:szCs w:val="20"/>
                <w:color w:val="auto"/>
              </w:rPr>
            </w:pPr>
            <w:r>
              <w:rPr>
                <w:rFonts w:ascii="Courier New" w:cs="Courier New" w:eastAsia="Courier New" w:hAnsi="Courier New"/>
                <w:sz w:val="15"/>
                <w:szCs w:val="15"/>
                <w:color w:val="auto"/>
              </w:rPr>
              <w:t>Hiroo Toyoda</w:t>
            </w:r>
          </w:p>
        </w:tc>
        <w:tc>
          <w:tcPr>
            <w:tcW w:w="2240" w:type="dxa"/>
            <w:vAlign w:val="bottom"/>
          </w:tcPr>
          <w:p>
            <w:pPr>
              <w:jc w:val="right"/>
              <w:ind w:right="605"/>
              <w:spacing w:after="0"/>
              <w:rPr>
                <w:sz w:val="20"/>
                <w:szCs w:val="20"/>
                <w:color w:val="auto"/>
              </w:rPr>
            </w:pPr>
            <w:r>
              <w:rPr>
                <w:rFonts w:ascii="Courier New" w:cs="Courier New" w:eastAsia="Courier New" w:hAnsi="Courier New"/>
                <w:sz w:val="15"/>
                <w:szCs w:val="15"/>
                <w:color w:val="auto"/>
              </w:rPr>
              <w:t>56,627,282</w:t>
            </w:r>
          </w:p>
        </w:tc>
        <w:tc>
          <w:tcPr>
            <w:tcW w:w="13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279,658</w:t>
            </w:r>
          </w:p>
        </w:tc>
      </w:tr>
    </w:tbl>
    <w:p>
      <w:pPr>
        <w:spacing w:after="0" w:line="176"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On a proposal to amend the Company's Certificate of Incorporation to increase the number of authorized Common Shares to 200,000,000,</w:t>
      </w:r>
    </w:p>
    <w:p>
      <w:pPr>
        <w:spacing w:after="0" w:line="4" w:lineRule="exact"/>
        <w:rPr>
          <w:sz w:val="20"/>
          <w:szCs w:val="20"/>
          <w:color w:val="auto"/>
        </w:rPr>
      </w:pPr>
    </w:p>
    <w:p>
      <w:pPr>
        <w:ind w:right="3879"/>
        <w:spacing w:after="0" w:line="241" w:lineRule="auto"/>
        <w:rPr>
          <w:sz w:val="20"/>
          <w:szCs w:val="20"/>
          <w:color w:val="auto"/>
        </w:rPr>
      </w:pPr>
      <w:r>
        <w:rPr>
          <w:rFonts w:ascii="Courier New" w:cs="Courier New" w:eastAsia="Courier New" w:hAnsi="Courier New"/>
          <w:sz w:val="15"/>
          <w:szCs w:val="15"/>
          <w:color w:val="auto"/>
        </w:rPr>
        <w:t>there were 53,917,924 votes cast in favor of this measure and 2,725,660 votes cast against it. There were 263,356 abstentions and no broker non-votes.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Exhibits and Reports on Form 8-K</w:t>
      </w:r>
    </w:p>
    <w:p>
      <w:pPr>
        <w:spacing w:after="0" w:line="174" w:lineRule="exact"/>
        <w:rPr>
          <w:sz w:val="20"/>
          <w:szCs w:val="20"/>
          <w:color w:val="auto"/>
        </w:rPr>
      </w:pPr>
    </w:p>
    <w:p>
      <w:pPr>
        <w:ind w:left="1160" w:hanging="453"/>
        <w:spacing w:after="0"/>
        <w:tabs>
          <w:tab w:leader="none" w:pos="11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are numbered in accordance with the Exhibit Table of Item 601 of</w:t>
      </w:r>
    </w:p>
    <w:p>
      <w:pPr>
        <w:spacing w:after="0" w:line="2" w:lineRule="exact"/>
        <w:rPr>
          <w:rFonts w:ascii="Courier New" w:cs="Courier New" w:eastAsia="Courier New" w:hAnsi="Courier New"/>
          <w:sz w:val="15"/>
          <w:szCs w:val="15"/>
          <w:color w:val="auto"/>
        </w:rPr>
      </w:pPr>
    </w:p>
    <w:p>
      <w:pPr>
        <w:ind w:left="5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Regulation</w:t>
      </w:r>
      <w:r>
        <w:rPr>
          <w:rFonts w:ascii="Courier New" w:cs="Courier New" w:eastAsia="Courier New" w:hAnsi="Courier New"/>
          <w:sz w:val="14"/>
          <w:szCs w:val="14"/>
          <w:color w:val="auto"/>
        </w:rPr>
        <w:t>S-K:</w:t>
      </w:r>
    </w:p>
    <w:p>
      <w:pPr>
        <w:spacing w:after="0" w:line="174" w:lineRule="exact"/>
        <w:rPr>
          <w:sz w:val="20"/>
          <w:szCs w:val="20"/>
          <w:color w:val="auto"/>
        </w:rPr>
      </w:pPr>
    </w:p>
    <w:tbl>
      <w:tblPr>
        <w:tblLayout w:type="fixed"/>
        <w:tblInd w:w="1420" w:type="dxa"/>
        <w:tblCellMar>
          <w:top w:w="0" w:type="dxa"/>
          <w:left w:w="0" w:type="dxa"/>
          <w:bottom w:w="0" w:type="dxa"/>
          <w:right w:w="0" w:type="dxa"/>
        </w:tblCellMar>
      </w:tblPr>
      <w:tr>
        <w:trPr>
          <w:trHeight w:val="170"/>
        </w:trPr>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w w:val="97"/>
              </w:rPr>
              <w:t>10.16</w:t>
            </w:r>
          </w:p>
        </w:tc>
        <w:tc>
          <w:tcPr>
            <w:tcW w:w="1800" w:type="dxa"/>
            <w:vAlign w:val="bottom"/>
          </w:tcPr>
          <w:p>
            <w:pPr>
              <w:ind w:left="500"/>
              <w:spacing w:after="0"/>
              <w:rPr>
                <w:sz w:val="20"/>
                <w:szCs w:val="20"/>
                <w:color w:val="auto"/>
              </w:rPr>
            </w:pPr>
            <w:r>
              <w:rPr>
                <w:rFonts w:ascii="Courier New" w:cs="Courier New" w:eastAsia="Courier New" w:hAnsi="Courier New"/>
                <w:sz w:val="15"/>
                <w:szCs w:val="15"/>
                <w:color w:val="auto"/>
              </w:rPr>
              <w:t>The 1985 Stock</w:t>
            </w:r>
          </w:p>
        </w:tc>
        <w:tc>
          <w:tcPr>
            <w:tcW w:w="4500" w:type="dxa"/>
            <w:vAlign w:val="bottom"/>
          </w:tcPr>
          <w:p>
            <w:pPr>
              <w:ind w:left="40"/>
              <w:spacing w:after="0"/>
              <w:rPr>
                <w:sz w:val="20"/>
                <w:szCs w:val="20"/>
                <w:color w:val="auto"/>
              </w:rPr>
            </w:pPr>
            <w:r>
              <w:rPr>
                <w:rFonts w:ascii="Courier New" w:cs="Courier New" w:eastAsia="Courier New" w:hAnsi="Courier New"/>
                <w:sz w:val="15"/>
                <w:szCs w:val="15"/>
                <w:color w:val="auto"/>
                <w:w w:val="98"/>
              </w:rPr>
              <w:t>Option Plan for Non-Employee Directors, as amended</w:t>
            </w:r>
          </w:p>
        </w:tc>
      </w:tr>
      <w:tr>
        <w:trPr>
          <w:trHeight w:val="172"/>
        </w:trPr>
        <w:tc>
          <w:tcPr>
            <w:tcW w:w="940" w:type="dxa"/>
            <w:vAlign w:val="bottom"/>
          </w:tcPr>
          <w:p>
            <w:pPr>
              <w:spacing w:after="0"/>
              <w:rPr>
                <w:sz w:val="14"/>
                <w:szCs w:val="14"/>
                <w:color w:val="auto"/>
              </w:rPr>
            </w:pPr>
          </w:p>
        </w:tc>
        <w:tc>
          <w:tcPr>
            <w:tcW w:w="1800" w:type="dxa"/>
            <w:vAlign w:val="bottom"/>
          </w:tcPr>
          <w:p>
            <w:pPr>
              <w:ind w:left="500"/>
              <w:spacing w:after="0"/>
              <w:rPr>
                <w:sz w:val="20"/>
                <w:szCs w:val="20"/>
                <w:color w:val="auto"/>
              </w:rPr>
            </w:pPr>
            <w:r>
              <w:rPr>
                <w:rFonts w:ascii="Courier New" w:cs="Courier New" w:eastAsia="Courier New" w:hAnsi="Courier New"/>
                <w:sz w:val="15"/>
                <w:szCs w:val="15"/>
                <w:color w:val="auto"/>
              </w:rPr>
              <w:t>to December 8,</w:t>
            </w:r>
          </w:p>
        </w:tc>
        <w:tc>
          <w:tcPr>
            <w:tcW w:w="4500" w:type="dxa"/>
            <w:vAlign w:val="bottom"/>
          </w:tcPr>
          <w:p>
            <w:pPr>
              <w:ind w:left="40"/>
              <w:spacing w:after="0"/>
              <w:rPr>
                <w:sz w:val="20"/>
                <w:szCs w:val="20"/>
                <w:color w:val="auto"/>
              </w:rPr>
            </w:pPr>
            <w:r>
              <w:rPr>
                <w:rFonts w:ascii="Courier New" w:cs="Courier New" w:eastAsia="Courier New" w:hAnsi="Courier New"/>
                <w:sz w:val="15"/>
                <w:szCs w:val="15"/>
                <w:color w:val="auto"/>
              </w:rPr>
              <w:t>1993.</w:t>
            </w:r>
          </w:p>
        </w:tc>
      </w:tr>
    </w:tbl>
    <w:p>
      <w:pPr>
        <w:spacing w:after="0" w:line="176" w:lineRule="exact"/>
        <w:rPr>
          <w:sz w:val="20"/>
          <w:szCs w:val="20"/>
          <w:color w:val="auto"/>
        </w:rPr>
      </w:pPr>
    </w:p>
    <w:p>
      <w:pPr>
        <w:ind w:left="2860" w:right="1559" w:hanging="1437"/>
        <w:spacing w:after="0"/>
        <w:tabs>
          <w:tab w:leader="none" w:pos="1786"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17Amendment No. 2 to the Applied Materials, Inc. Executive Deferred Compensation Plan, dated May 9, 1994.</w:t>
      </w:r>
    </w:p>
    <w:p>
      <w:pPr>
        <w:spacing w:after="0" w:line="174" w:lineRule="exact"/>
        <w:rPr>
          <w:rFonts w:ascii="Courier New" w:cs="Courier New" w:eastAsia="Courier New" w:hAnsi="Courier New"/>
          <w:sz w:val="15"/>
          <w:szCs w:val="15"/>
          <w:color w:val="auto"/>
        </w:rPr>
      </w:pPr>
    </w:p>
    <w:p>
      <w:pPr>
        <w:ind w:left="1160" w:hanging="453"/>
        <w:spacing w:after="0"/>
        <w:tabs>
          <w:tab w:leader="none" w:pos="11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reports on Form 8-K were filed by the Company during the quarter</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ended May 1,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w:t>
      </w:r>
    </w:p>
    <w:p>
      <w:pPr>
        <w:spacing w:after="0" w:line="4" w:lineRule="exact"/>
        <w:rPr>
          <w:sz w:val="20"/>
          <w:szCs w:val="20"/>
          <w:color w:val="auto"/>
        </w:rPr>
      </w:pPr>
    </w:p>
    <w:p>
      <w:pPr>
        <w:ind w:left="80" w:right="3079" w:firstLine="626"/>
        <w:spacing w:after="0" w:line="241"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APPLIED MATERIALS, INC.</w:t>
      </w:r>
    </w:p>
    <w:p>
      <w:pPr>
        <w:sectPr>
          <w:pgSz w:w="11900" w:h="16838" w:orient="portrait"/>
          <w:cols w:equalWidth="0" w:num="1">
            <w:col w:w="10219"/>
          </w:cols>
          <w:pgMar w:left="240" w:top="1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2, 1994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By:/s/Gerald F. Taylor____</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Gerald F. Taylor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Senior Vice President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Financial Officer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Financial Officer)</w:t>
      </w:r>
    </w:p>
    <w:p>
      <w:pPr>
        <w:spacing w:after="0" w:line="200" w:lineRule="exact"/>
        <w:rPr>
          <w:sz w:val="20"/>
          <w:szCs w:val="20"/>
          <w:color w:val="auto"/>
        </w:rPr>
      </w:pPr>
    </w:p>
    <w:p>
      <w:pPr>
        <w:sectPr>
          <w:pgSz w:w="11900" w:h="16838" w:orient="portrait"/>
          <w:cols w:equalWidth="0" w:num="2">
            <w:col w:w="2860" w:space="720"/>
            <w:col w:w="6639"/>
          </w:cols>
          <w:pgMar w:left="240" w:top="140" w:right="1440" w:bottom="1440" w:gutter="0" w:footer="0" w:header="0"/>
          <w:type w:val="continuous"/>
        </w:sectPr>
      </w:pPr>
    </w:p>
    <w:p>
      <w:pPr>
        <w:spacing w:after="0" w:line="320" w:lineRule="exact"/>
        <w:rPr>
          <w:sz w:val="20"/>
          <w:szCs w:val="20"/>
          <w:color w:val="auto"/>
        </w:rPr>
      </w:pPr>
    </w:p>
    <w:p>
      <w:pPr>
        <w:ind w:left="4280"/>
        <w:spacing w:after="0"/>
        <w:rPr>
          <w:sz w:val="20"/>
          <w:szCs w:val="20"/>
          <w:color w:val="auto"/>
        </w:rPr>
      </w:pPr>
      <w:r>
        <w:rPr>
          <w:rFonts w:ascii="Courier New" w:cs="Courier New" w:eastAsia="Courier New" w:hAnsi="Courier New"/>
          <w:sz w:val="14"/>
          <w:szCs w:val="14"/>
          <w:color w:val="auto"/>
        </w:rPr>
        <w:t>By:/s/Michael K O'Farrell___</w:t>
      </w:r>
    </w:p>
    <w:p>
      <w:pPr>
        <w:spacing w:after="0" w:line="1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Michael K. O'Farrell</w:t>
      </w:r>
    </w:p>
    <w:p>
      <w:pPr>
        <w:spacing w:after="0" w:line="2"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Corporate Controller</w:t>
      </w:r>
    </w:p>
    <w:p>
      <w:pPr>
        <w:spacing w:after="0" w:line="2" w:lineRule="exact"/>
        <w:rPr>
          <w:sz w:val="20"/>
          <w:szCs w:val="20"/>
          <w:color w:val="auto"/>
        </w:rPr>
      </w:pPr>
    </w:p>
    <w:p>
      <w:pPr>
        <w:ind w:left="3580"/>
        <w:spacing w:after="0"/>
        <w:rPr>
          <w:sz w:val="20"/>
          <w:szCs w:val="20"/>
          <w:color w:val="auto"/>
        </w:rPr>
      </w:pPr>
      <w:r>
        <w:rPr>
          <w:rFonts w:ascii="Courier New" w:cs="Courier New" w:eastAsia="Courier New" w:hAnsi="Courier New"/>
          <w:sz w:val="15"/>
          <w:szCs w:val="15"/>
          <w:color w:val="auto"/>
        </w:rPr>
        <w:t>(Principal Accounting Officer)</w:t>
      </w:r>
    </w:p>
    <w:p>
      <w:pPr>
        <w:sectPr>
          <w:pgSz w:w="11900" w:h="16838" w:orient="portrait"/>
          <w:cols w:equalWidth="0" w:num="1">
            <w:col w:w="10219"/>
          </w:cols>
          <w:pgMar w:left="240" w:top="1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INDEX TO EXHIBITS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Exhibits are numbered in accordance with the Exhibit Table of Item 601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 S-K:</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3"/>
              </w:rPr>
              <w:t>10.16</w:t>
            </w:r>
          </w:p>
        </w:tc>
        <w:tc>
          <w:tcPr>
            <w:tcW w:w="61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The 1985 Stock Option Plan for Non-Employee Directors, as</w:t>
            </w:r>
          </w:p>
        </w:tc>
        <w:tc>
          <w:tcPr>
            <w:tcW w:w="440" w:type="dxa"/>
            <w:vAlign w:val="bottom"/>
          </w:tcPr>
          <w:p>
            <w:pPr>
              <w:spacing w:after="0"/>
              <w:rPr>
                <w:sz w:val="14"/>
                <w:szCs w:val="14"/>
                <w:color w:val="auto"/>
              </w:rPr>
            </w:pPr>
          </w:p>
        </w:tc>
      </w:tr>
      <w:tr>
        <w:trPr>
          <w:trHeight w:val="172"/>
        </w:trPr>
        <w:tc>
          <w:tcPr>
            <w:tcW w:w="580" w:type="dxa"/>
            <w:vAlign w:val="bottom"/>
          </w:tcPr>
          <w:p>
            <w:pPr>
              <w:spacing w:after="0"/>
              <w:rPr>
                <w:sz w:val="14"/>
                <w:szCs w:val="14"/>
                <w:color w:val="auto"/>
              </w:rPr>
            </w:pPr>
          </w:p>
        </w:tc>
        <w:tc>
          <w:tcPr>
            <w:tcW w:w="61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amended to December 8, 1993.</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344"/>
        </w:trPr>
        <w:tc>
          <w:tcPr>
            <w:tcW w:w="5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3"/>
              </w:rPr>
              <w:t>10.17</w:t>
            </w:r>
          </w:p>
        </w:tc>
        <w:tc>
          <w:tcPr>
            <w:tcW w:w="1780" w:type="dxa"/>
            <w:vAlign w:val="bottom"/>
          </w:tcPr>
          <w:p>
            <w:pPr>
              <w:ind w:left="120"/>
              <w:spacing w:after="0"/>
              <w:rPr>
                <w:sz w:val="20"/>
                <w:szCs w:val="20"/>
                <w:color w:val="auto"/>
              </w:rPr>
            </w:pPr>
            <w:r>
              <w:rPr>
                <w:rFonts w:ascii="Courier New" w:cs="Courier New" w:eastAsia="Courier New" w:hAnsi="Courier New"/>
                <w:sz w:val="15"/>
                <w:szCs w:val="15"/>
                <w:color w:val="auto"/>
              </w:rPr>
              <w:t>Amendment No. 2 to</w:t>
            </w:r>
          </w:p>
        </w:tc>
        <w:tc>
          <w:tcPr>
            <w:tcW w:w="4340" w:type="dxa"/>
            <w:vAlign w:val="bottom"/>
          </w:tcPr>
          <w:p>
            <w:pPr>
              <w:ind w:left="40"/>
              <w:spacing w:after="0"/>
              <w:rPr>
                <w:sz w:val="20"/>
                <w:szCs w:val="20"/>
                <w:color w:val="auto"/>
              </w:rPr>
            </w:pPr>
            <w:r>
              <w:rPr>
                <w:rFonts w:ascii="Courier New" w:cs="Courier New" w:eastAsia="Courier New" w:hAnsi="Courier New"/>
                <w:sz w:val="15"/>
                <w:szCs w:val="15"/>
                <w:color w:val="auto"/>
              </w:rPr>
              <w:t>the Applied Materials, Inc. Executive Deferred</w:t>
            </w:r>
          </w:p>
        </w:tc>
        <w:tc>
          <w:tcPr>
            <w:tcW w:w="440" w:type="dxa"/>
            <w:vAlign w:val="bottom"/>
          </w:tcPr>
          <w:p>
            <w:pPr>
              <w:spacing w:after="0"/>
              <w:rPr>
                <w:sz w:val="24"/>
                <w:szCs w:val="24"/>
                <w:color w:val="auto"/>
              </w:rPr>
            </w:pPr>
          </w:p>
        </w:tc>
      </w:tr>
      <w:tr>
        <w:trPr>
          <w:trHeight w:val="172"/>
        </w:trPr>
        <w:tc>
          <w:tcPr>
            <w:tcW w:w="580" w:type="dxa"/>
            <w:vAlign w:val="bottom"/>
          </w:tcPr>
          <w:p>
            <w:pPr>
              <w:spacing w:after="0"/>
              <w:rPr>
                <w:sz w:val="14"/>
                <w:szCs w:val="14"/>
                <w:color w:val="auto"/>
              </w:rPr>
            </w:pPr>
          </w:p>
        </w:tc>
        <w:tc>
          <w:tcPr>
            <w:tcW w:w="1780" w:type="dxa"/>
            <w:vAlign w:val="bottom"/>
          </w:tcPr>
          <w:p>
            <w:pPr>
              <w:ind w:left="120"/>
              <w:spacing w:after="0"/>
              <w:rPr>
                <w:sz w:val="20"/>
                <w:szCs w:val="20"/>
                <w:color w:val="auto"/>
              </w:rPr>
            </w:pPr>
            <w:r>
              <w:rPr>
                <w:rFonts w:ascii="Courier New" w:cs="Courier New" w:eastAsia="Courier New" w:hAnsi="Courier New"/>
                <w:sz w:val="15"/>
                <w:szCs w:val="15"/>
                <w:color w:val="auto"/>
              </w:rPr>
              <w:t>Compensation Plan,</w:t>
            </w:r>
          </w:p>
        </w:tc>
        <w:tc>
          <w:tcPr>
            <w:tcW w:w="4340" w:type="dxa"/>
            <w:vAlign w:val="bottom"/>
          </w:tcPr>
          <w:p>
            <w:pPr>
              <w:ind w:left="40"/>
              <w:spacing w:after="0"/>
              <w:rPr>
                <w:sz w:val="20"/>
                <w:szCs w:val="20"/>
                <w:color w:val="auto"/>
              </w:rPr>
            </w:pPr>
            <w:r>
              <w:rPr>
                <w:rFonts w:ascii="Courier New" w:cs="Courier New" w:eastAsia="Courier New" w:hAnsi="Courier New"/>
                <w:sz w:val="15"/>
                <w:szCs w:val="15"/>
                <w:color w:val="auto"/>
              </w:rPr>
              <w:t>dated May 9, 1994.</w:t>
            </w:r>
          </w:p>
        </w:tc>
        <w:tc>
          <w:tcPr>
            <w:tcW w:w="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w:t>
            </w:r>
          </w:p>
        </w:tc>
      </w:tr>
    </w:tbl>
    <w:p>
      <w:pPr>
        <w:sectPr>
          <w:pgSz w:w="11900" w:h="16838" w:orient="portrait"/>
          <w:cols w:equalWidth="0" w:num="1">
            <w:col w:w="10219"/>
          </w:cols>
          <w:pgMar w:left="240" w:top="140" w:right="1440" w:bottom="1440" w:gutter="0" w:footer="0" w:header="0"/>
          <w:type w:val="continuous"/>
        </w:sectPr>
      </w:pPr>
    </w:p>
    <w:bookmarkStart w:id="6" w:name="page7"/>
    <w:bookmarkEnd w:id="6"/>
    <w:p>
      <w:pPr>
        <w:spacing w:after="0" w:line="26"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5"/>
          <w:szCs w:val="15"/>
          <w:color w:val="auto"/>
        </w:rPr>
        <w:t>APPLIED MATERIALS, INC.</w:t>
      </w:r>
    </w:p>
    <w:p>
      <w:pPr>
        <w:spacing w:after="0" w:line="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1985 STOCK OPTION PLAN FOR NON-EMPLOYEE DIRECTORS</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(as amended to December 8, 1993)</w:t>
      </w:r>
    </w:p>
    <w:p>
      <w:pPr>
        <w:spacing w:after="0" w:line="174"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5"/>
          <w:szCs w:val="15"/>
          <w:color w:val="auto"/>
        </w:rPr>
        <w:t>ARTICLE I</w:t>
      </w:r>
    </w:p>
    <w:p>
      <w:pPr>
        <w:spacing w:after="0" w:line="2" w:lineRule="exact"/>
        <w:rPr>
          <w:sz w:val="20"/>
          <w:szCs w:val="20"/>
          <w:color w:val="auto"/>
        </w:rPr>
      </w:pPr>
    </w:p>
    <w:p>
      <w:pPr>
        <w:jc w:val="center"/>
        <w:ind w:right="4419"/>
        <w:spacing w:after="0"/>
        <w:rPr>
          <w:sz w:val="20"/>
          <w:szCs w:val="20"/>
          <w:color w:val="auto"/>
        </w:rPr>
      </w:pPr>
      <w:r>
        <w:rPr>
          <w:rFonts w:ascii="Courier New" w:cs="Courier New" w:eastAsia="Courier New" w:hAnsi="Courier New"/>
          <w:sz w:val="15"/>
          <w:szCs w:val="15"/>
          <w:color w:val="auto"/>
        </w:rPr>
        <w:t>GENERAL</w:t>
      </w:r>
    </w:p>
    <w:p>
      <w:pPr>
        <w:spacing w:after="0" w:line="2" w:lineRule="exact"/>
        <w:rPr>
          <w:sz w:val="20"/>
          <w:szCs w:val="20"/>
          <w:color w:val="auto"/>
        </w:rPr>
      </w:pPr>
    </w:p>
    <w:p>
      <w:pPr>
        <w:ind w:left="1340" w:hanging="454"/>
        <w:spacing w:after="0"/>
        <w:tabs>
          <w:tab w:leader="none" w:pos="13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spacing w:after="0" w:line="4" w:lineRule="exact"/>
        <w:rPr>
          <w:sz w:val="20"/>
          <w:szCs w:val="20"/>
          <w:color w:val="auto"/>
        </w:rPr>
      </w:pPr>
    </w:p>
    <w:p>
      <w:pPr>
        <w:ind w:right="4499" w:firstLine="894"/>
        <w:spacing w:after="0" w:line="260" w:lineRule="auto"/>
        <w:rPr>
          <w:sz w:val="20"/>
          <w:szCs w:val="20"/>
          <w:color w:val="auto"/>
        </w:rPr>
      </w:pPr>
      <w:r>
        <w:rPr>
          <w:rFonts w:ascii="Courier New" w:cs="Courier New" w:eastAsia="Courier New" w:hAnsi="Courier New"/>
          <w:sz w:val="14"/>
          <w:szCs w:val="14"/>
          <w:color w:val="auto"/>
        </w:rPr>
        <w:t>This 1985 Stock Option Plan for Non-Employee Directors (the "Plan") is intended to attract and retain the services of experienced and knowledgeable independent directors of Applied Materials, Inc., a California corporation (the "Company"), for the benefit of the Company and its shareholders and to provide additional incentive for such directors to continue to work for the best interests of the Company and its shareholders.</w:t>
      </w:r>
    </w:p>
    <w:p>
      <w:pPr>
        <w:ind w:left="1340" w:hanging="454"/>
        <w:spacing w:after="0"/>
        <w:tabs>
          <w:tab w:leader="none" w:pos="13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3" w:lineRule="exact"/>
        <w:rPr>
          <w:sz w:val="20"/>
          <w:szCs w:val="20"/>
          <w:color w:val="auto"/>
        </w:rPr>
      </w:pPr>
    </w:p>
    <w:p>
      <w:pPr>
        <w:ind w:right="4419" w:firstLine="894"/>
        <w:spacing w:after="0" w:line="242" w:lineRule="auto"/>
        <w:rPr>
          <w:sz w:val="20"/>
          <w:szCs w:val="20"/>
          <w:color w:val="auto"/>
        </w:rPr>
      </w:pPr>
      <w:r>
        <w:rPr>
          <w:rFonts w:ascii="Courier New" w:cs="Courier New" w:eastAsia="Courier New" w:hAnsi="Courier New"/>
          <w:sz w:val="15"/>
          <w:szCs w:val="15"/>
          <w:color w:val="auto"/>
        </w:rPr>
        <w:t>The Plan shall be administered by the Board of Directors of the Company (the "Board"). The Board shall have the power to construe the Plan, to determine all questions arising thereunder and to adopt and amend such rules and regulations for the administration of the Plan as it may deem desirable.</w:t>
      </w:r>
    </w:p>
    <w:p>
      <w:pPr>
        <w:spacing w:after="0" w:line="3" w:lineRule="exact"/>
        <w:rPr>
          <w:sz w:val="20"/>
          <w:szCs w:val="20"/>
          <w:color w:val="auto"/>
        </w:rPr>
      </w:pPr>
    </w:p>
    <w:p>
      <w:pPr>
        <w:ind w:right="4419" w:firstLine="894"/>
        <w:spacing w:after="0" w:line="242" w:lineRule="auto"/>
        <w:rPr>
          <w:sz w:val="20"/>
          <w:szCs w:val="20"/>
          <w:color w:val="auto"/>
        </w:rPr>
      </w:pPr>
      <w:r>
        <w:rPr>
          <w:rFonts w:ascii="Courier New" w:cs="Courier New" w:eastAsia="Courier New" w:hAnsi="Courier New"/>
          <w:sz w:val="15"/>
          <w:szCs w:val="15"/>
          <w:color w:val="auto"/>
        </w:rPr>
        <w:t>The interpretation and construction by the Board of any provisions of the Plan or of any option granted under it shall be final. No member of the Board shall be liable for any action or determination made in good faith with respect to the Plan or any option granted under it.</w:t>
      </w:r>
    </w:p>
    <w:p>
      <w:pPr>
        <w:spacing w:after="0" w:line="2" w:lineRule="exact"/>
        <w:rPr>
          <w:sz w:val="20"/>
          <w:szCs w:val="20"/>
          <w:color w:val="auto"/>
        </w:rPr>
      </w:pPr>
    </w:p>
    <w:p>
      <w:pPr>
        <w:ind w:left="1340" w:hanging="454"/>
        <w:spacing w:after="0"/>
        <w:tabs>
          <w:tab w:leader="none" w:pos="13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4" w:lineRule="exact"/>
        <w:rPr>
          <w:sz w:val="20"/>
          <w:szCs w:val="20"/>
          <w:color w:val="auto"/>
        </w:rPr>
      </w:pPr>
    </w:p>
    <w:p>
      <w:pPr>
        <w:ind w:right="4419" w:firstLine="894"/>
        <w:spacing w:after="0" w:line="242" w:lineRule="auto"/>
        <w:rPr>
          <w:sz w:val="20"/>
          <w:szCs w:val="20"/>
          <w:color w:val="auto"/>
        </w:rPr>
      </w:pPr>
      <w:r>
        <w:rPr>
          <w:rFonts w:ascii="Courier New" w:cs="Courier New" w:eastAsia="Courier New" w:hAnsi="Courier New"/>
          <w:sz w:val="15"/>
          <w:szCs w:val="15"/>
          <w:color w:val="auto"/>
        </w:rPr>
        <w:t>Only directors who are not employees of the Company or any subsidiary are eligible participants in the Plan. Each such person who shall have been elected or appointed a director of the Company shall automatically be granted options to purchase</w:t>
      </w:r>
    </w:p>
    <w:p>
      <w:pPr>
        <w:spacing w:after="0" w:line="3" w:lineRule="exact"/>
        <w:rPr>
          <w:sz w:val="20"/>
          <w:szCs w:val="20"/>
          <w:color w:val="auto"/>
        </w:rPr>
      </w:pPr>
    </w:p>
    <w:p>
      <w:pPr>
        <w:ind w:right="4419"/>
        <w:spacing w:after="0" w:line="242" w:lineRule="auto"/>
        <w:rPr>
          <w:sz w:val="20"/>
          <w:szCs w:val="20"/>
          <w:color w:val="auto"/>
        </w:rPr>
      </w:pPr>
      <w:r>
        <w:rPr>
          <w:rFonts w:ascii="Courier New" w:cs="Courier New" w:eastAsia="Courier New" w:hAnsi="Courier New"/>
          <w:sz w:val="15"/>
          <w:szCs w:val="15"/>
          <w:color w:val="auto"/>
        </w:rPr>
        <w:t>20,000 shares of the Company's Common Stock (the "Appointment Grant") (subject to further adjustment as provided in Article III hereof) on the date that any such person is for the first time either appointed by the Board of Directors or elected by the shareholders of the Company to the Board of Directors.</w:t>
      </w:r>
    </w:p>
    <w:p>
      <w:pPr>
        <w:spacing w:after="0" w:line="3" w:lineRule="exact"/>
        <w:rPr>
          <w:sz w:val="20"/>
          <w:szCs w:val="20"/>
          <w:color w:val="auto"/>
        </w:rPr>
      </w:pPr>
    </w:p>
    <w:p>
      <w:pPr>
        <w:ind w:right="4319" w:firstLine="894"/>
        <w:spacing w:after="0" w:line="242" w:lineRule="auto"/>
        <w:rPr>
          <w:sz w:val="20"/>
          <w:szCs w:val="20"/>
          <w:color w:val="auto"/>
        </w:rPr>
      </w:pPr>
      <w:r>
        <w:rPr>
          <w:rFonts w:ascii="Courier New" w:cs="Courier New" w:eastAsia="Courier New" w:hAnsi="Courier New"/>
          <w:sz w:val="15"/>
          <w:szCs w:val="15"/>
          <w:color w:val="auto"/>
        </w:rPr>
        <w:t>In addition, each such director of the Company shall automatically be granted options to purchase 6,0001/ shares of the Company's Common Stock (subject to further adjustment as provided in Article III hereof) on the last business day of fiscal years 1986 through and including 1994, provided, that such automatic option grants shall only be made if the recipient director (i) is not otherwise an employee of the Company or any subsidiary on the date of grant, (ii) has not been an employee of the Company or any subsidiary for all or any part of the preceding fiscal year, and (iii) has served on the Board of Directors for the entire preceding fiscal year.</w:t>
      </w:r>
    </w:p>
    <w:p>
      <w:pPr>
        <w:spacing w:after="0" w:line="7" w:lineRule="exact"/>
        <w:rPr>
          <w:sz w:val="20"/>
          <w:szCs w:val="20"/>
          <w:color w:val="auto"/>
        </w:rPr>
      </w:pPr>
    </w:p>
    <w:p>
      <w:pPr>
        <w:ind w:right="4679" w:firstLine="894"/>
        <w:spacing w:after="0"/>
        <w:rPr>
          <w:sz w:val="20"/>
          <w:szCs w:val="20"/>
          <w:color w:val="auto"/>
        </w:rPr>
      </w:pPr>
      <w:r>
        <w:rPr>
          <w:rFonts w:ascii="Courier New" w:cs="Courier New" w:eastAsia="Courier New" w:hAnsi="Courier New"/>
          <w:sz w:val="15"/>
          <w:szCs w:val="15"/>
          <w:color w:val="auto"/>
        </w:rPr>
        <w:t>The dates on which options are granted hereunder are referred to herein as the "Grant Date."</w:t>
      </w:r>
    </w:p>
    <w:p>
      <w:pPr>
        <w:spacing w:after="0" w:line="4" w:lineRule="exact"/>
        <w:rPr>
          <w:sz w:val="20"/>
          <w:szCs w:val="20"/>
          <w:color w:val="auto"/>
        </w:rPr>
      </w:pPr>
    </w:p>
    <w:p>
      <w:pPr>
        <w:ind w:right="4419" w:firstLine="894"/>
        <w:spacing w:after="0" w:line="242" w:lineRule="auto"/>
        <w:rPr>
          <w:sz w:val="20"/>
          <w:szCs w:val="20"/>
          <w:color w:val="auto"/>
        </w:rPr>
      </w:pPr>
      <w:r>
        <w:rPr>
          <w:rFonts w:ascii="Courier New" w:cs="Courier New" w:eastAsia="Courier New" w:hAnsi="Courier New"/>
          <w:sz w:val="15"/>
          <w:szCs w:val="15"/>
          <w:color w:val="auto"/>
        </w:rPr>
        <w:t>In the event that the number of shares of the Company's Common Stock subject to future grants under the Plan is insufficient to make all automatic grants required to be made on the Grant Date, then all non-employee directors entitled to a grant on such date shall share ratably in the number of options on shares of the Company's Common Stock available for grant under the Plan.</w:t>
      </w:r>
    </w:p>
    <w:p>
      <w:pPr>
        <w:spacing w:after="0" w:line="3" w:lineRule="exact"/>
        <w:rPr>
          <w:sz w:val="20"/>
          <w:szCs w:val="20"/>
          <w:color w:val="auto"/>
        </w:rPr>
      </w:pPr>
    </w:p>
    <w:p>
      <w:pPr>
        <w:ind w:left="1340" w:hanging="454"/>
        <w:spacing w:after="0"/>
        <w:tabs>
          <w:tab w:leader="none" w:pos="13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STOCK SUBJECT TO THE PLAN.</w:t>
      </w:r>
    </w:p>
    <w:p>
      <w:pPr>
        <w:spacing w:after="0" w:line="4" w:lineRule="exact"/>
        <w:rPr>
          <w:sz w:val="20"/>
          <w:szCs w:val="20"/>
          <w:color w:val="auto"/>
        </w:rPr>
      </w:pPr>
    </w:p>
    <w:p>
      <w:pPr>
        <w:ind w:right="4599" w:firstLine="894"/>
        <w:spacing w:after="0" w:line="242" w:lineRule="auto"/>
        <w:rPr>
          <w:sz w:val="20"/>
          <w:szCs w:val="20"/>
          <w:color w:val="auto"/>
        </w:rPr>
      </w:pPr>
      <w:r>
        <w:rPr>
          <w:rFonts w:ascii="Courier New" w:cs="Courier New" w:eastAsia="Courier New" w:hAnsi="Courier New"/>
          <w:sz w:val="15"/>
          <w:szCs w:val="15"/>
          <w:color w:val="auto"/>
        </w:rPr>
        <w:t>The shares that may be issued under the Plan shall be authorized and unissued or reacquired shares of the Company's common stock (the "Common Stock"). The aggregate number of shares which may be issued under the Plan shall not exceed 800,000 shares of Common Stock, unless an adjustment is required in accordance with Article III.</w:t>
      </w:r>
    </w:p>
    <w:p>
      <w:pPr>
        <w:spacing w:after="0" w:line="2" w:lineRule="exact"/>
        <w:rPr>
          <w:sz w:val="20"/>
          <w:szCs w:val="20"/>
          <w:color w:val="auto"/>
        </w:rPr>
      </w:pPr>
    </w:p>
    <w:p>
      <w:pPr>
        <w:ind w:left="1340" w:hanging="454"/>
        <w:spacing w:after="0"/>
        <w:tabs>
          <w:tab w:leader="none" w:pos="134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THE PLAN.</w:t>
      </w:r>
    </w:p>
    <w:p>
      <w:pPr>
        <w:spacing w:after="0" w:line="4" w:lineRule="exact"/>
        <w:rPr>
          <w:sz w:val="20"/>
          <w:szCs w:val="20"/>
          <w:color w:val="auto"/>
        </w:rPr>
      </w:pPr>
    </w:p>
    <w:p>
      <w:pPr>
        <w:ind w:right="4419" w:firstLine="894"/>
        <w:spacing w:after="0" w:line="242" w:lineRule="auto"/>
        <w:rPr>
          <w:sz w:val="20"/>
          <w:szCs w:val="20"/>
          <w:color w:val="auto"/>
        </w:rPr>
      </w:pPr>
      <w:r>
        <w:rPr>
          <w:rFonts w:ascii="Courier New" w:cs="Courier New" w:eastAsia="Courier New" w:hAnsi="Courier New"/>
          <w:sz w:val="15"/>
          <w:szCs w:val="15"/>
          <w:color w:val="auto"/>
        </w:rPr>
        <w:t>The Board of Directors may, insofar as permitted by law, from time to time, suspend or discontinue the Plan or revise or amend it in any respect whatsoever, except that no such amendment shall alter or impair or diminish any rights or obligations under any option theretofore granted under the Plan without the consent of the person to whom such option was granted. In addition, without further shareholder approval, no such amendment shall increase the number of shares subject to the Plan (except as authorized by Article III), increase the number of shares for which an option may be granted to any optionee (except as authorized by Article III), change the designation in Section 3 of Article I of the class of persons eligible to receive options under the Plan, provide for the grant of options having an option price per share less than fair market value (as defined in Section 11 of this Article I) on the date of grant, extend the term during which options may be exercised, extend the final date upon which options under the Plan may be granted, or otherwise amend the Plan in a way that would require shareholder approval under Rule 16b-3.</w:t>
      </w:r>
    </w:p>
    <w:p>
      <w:pPr>
        <w:spacing w:after="0" w:line="13" w:lineRule="exact"/>
        <w:rPr>
          <w:sz w:val="20"/>
          <w:szCs w:val="20"/>
          <w:color w:val="auto"/>
        </w:rPr>
      </w:pPr>
    </w:p>
    <w:p>
      <w:pPr>
        <w:ind w:right="4419" w:firstLine="894"/>
        <w:spacing w:after="0" w:line="242" w:lineRule="auto"/>
        <w:rPr>
          <w:sz w:val="20"/>
          <w:szCs w:val="20"/>
          <w:color w:val="auto"/>
        </w:rPr>
      </w:pPr>
      <w:r>
        <w:rPr>
          <w:rFonts w:ascii="Courier New" w:cs="Courier New" w:eastAsia="Courier New" w:hAnsi="Courier New"/>
          <w:sz w:val="15"/>
          <w:szCs w:val="15"/>
          <w:color w:val="auto"/>
        </w:rPr>
        <w:t>The Company's shareholders shall approve amendments by the affirmative votes of the holders of a majority of the securities of the Company present, or represented, and entitled to vote at a meeting (with the shares held by the interested director or directors not being entitled to vote thereon), or any adjournment thereof, duly held in accordance with the applicable laws of the state or other jurisdiction in which the Company is incorporated.</w:t>
      </w:r>
    </w:p>
    <w:p>
      <w:pPr>
        <w:spacing w:after="0" w:line="4" w:lineRule="exact"/>
        <w:rPr>
          <w:sz w:val="20"/>
          <w:szCs w:val="20"/>
          <w:color w:val="auto"/>
        </w:rPr>
      </w:pPr>
    </w:p>
    <w:p>
      <w:pPr>
        <w:ind w:left="1340" w:hanging="454"/>
        <w:spacing w:after="0"/>
        <w:tabs>
          <w:tab w:leader="none" w:pos="13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SHAREHOLDERS.</w:t>
      </w:r>
    </w:p>
    <w:p>
      <w:pPr>
        <w:spacing w:after="0" w:line="4" w:lineRule="exact"/>
        <w:rPr>
          <w:sz w:val="20"/>
          <w:szCs w:val="20"/>
          <w:color w:val="auto"/>
        </w:rPr>
      </w:pPr>
    </w:p>
    <w:p>
      <w:pPr>
        <w:ind w:right="4419" w:firstLine="894"/>
        <w:spacing w:after="0" w:line="263" w:lineRule="auto"/>
        <w:rPr>
          <w:sz w:val="20"/>
          <w:szCs w:val="20"/>
          <w:color w:val="auto"/>
        </w:rPr>
      </w:pPr>
      <w:r>
        <w:rPr>
          <w:rFonts w:ascii="Courier New" w:cs="Courier New" w:eastAsia="Courier New" w:hAnsi="Courier New"/>
          <w:sz w:val="14"/>
          <w:szCs w:val="14"/>
          <w:color w:val="auto"/>
        </w:rPr>
        <w:t>The Plan is effective September 5, 1985, subject to approval by the affirmative votes of the holders of a majority of the securities of the Company present, or represented, and entitled to vote at the next annual meeting of shareholders (with the shares held by the interested director or directors not being</w:t>
      </w:r>
    </w:p>
    <w:p>
      <w:pPr>
        <w:sectPr>
          <w:pgSz w:w="11900" w:h="16864" w:orient="portrait"/>
          <w:cols w:equalWidth="0" w:num="1">
            <w:col w:w="10219"/>
          </w:cols>
          <w:pgMar w:left="240" w:top="140" w:right="1440" w:bottom="0" w:gutter="0" w:footer="0" w:header="0"/>
        </w:sectPr>
      </w:pPr>
    </w:p>
    <w:bookmarkStart w:id="7" w:name="page8"/>
    <w:bookmarkEnd w:id="7"/>
    <w:p>
      <w:pPr>
        <w:spacing w:after="0" w:line="27" w:lineRule="exact"/>
        <w:rPr>
          <w:sz w:val="20"/>
          <w:szCs w:val="20"/>
          <w:color w:val="auto"/>
        </w:rPr>
      </w:pPr>
    </w:p>
    <w:p>
      <w:pPr>
        <w:ind w:right="4499"/>
        <w:spacing w:after="0" w:line="242" w:lineRule="auto"/>
        <w:rPr>
          <w:sz w:val="20"/>
          <w:szCs w:val="20"/>
          <w:color w:val="auto"/>
        </w:rPr>
      </w:pPr>
      <w:r>
        <w:rPr>
          <w:rFonts w:ascii="Courier New" w:cs="Courier New" w:eastAsia="Courier New" w:hAnsi="Courier New"/>
          <w:sz w:val="15"/>
          <w:szCs w:val="15"/>
          <w:color w:val="auto"/>
        </w:rPr>
        <w:t>entitled to vote thereon), or any adjournment thereof, duly held in accordance with California law. No option granted hereunder may become exercisable unless and until such approval is obtained.</w:t>
      </w:r>
    </w:p>
    <w:p>
      <w:pPr>
        <w:spacing w:after="0" w:line="1" w:lineRule="exact"/>
        <w:rPr>
          <w:sz w:val="20"/>
          <w:szCs w:val="20"/>
          <w:color w:val="auto"/>
        </w:rPr>
      </w:pPr>
    </w:p>
    <w:p>
      <w:pPr>
        <w:ind w:left="1340" w:hanging="454"/>
        <w:spacing w:after="0"/>
        <w:tabs>
          <w:tab w:leader="none" w:pos="134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PLAN.</w:t>
      </w:r>
    </w:p>
    <w:p>
      <w:pPr>
        <w:spacing w:after="0" w:line="4" w:lineRule="exact"/>
        <w:rPr>
          <w:sz w:val="20"/>
          <w:szCs w:val="20"/>
          <w:color w:val="auto"/>
        </w:rPr>
      </w:pPr>
    </w:p>
    <w:p>
      <w:pPr>
        <w:ind w:right="4419" w:firstLine="894"/>
        <w:spacing w:after="0" w:line="242" w:lineRule="auto"/>
        <w:rPr>
          <w:sz w:val="20"/>
          <w:szCs w:val="20"/>
          <w:color w:val="auto"/>
        </w:rPr>
      </w:pPr>
      <w:r>
        <w:rPr>
          <w:rFonts w:ascii="Courier New" w:cs="Courier New" w:eastAsia="Courier New" w:hAnsi="Courier New"/>
          <w:sz w:val="15"/>
          <w:szCs w:val="15"/>
          <w:color w:val="auto"/>
        </w:rPr>
        <w:t>Options may be granted under the Plan until October 30, 1994, the date of termination of the Plan. Notwithstanding the foregoing, each option granted under the Plan shall remain in effect until such option has been satisfied by the issuance of shares or terminated in accordance with its terms and the terms of the Plan.</w:t>
      </w:r>
    </w:p>
    <w:p>
      <w:pPr>
        <w:spacing w:after="0" w:line="2" w:lineRule="exact"/>
        <w:rPr>
          <w:sz w:val="20"/>
          <w:szCs w:val="20"/>
          <w:color w:val="auto"/>
        </w:rPr>
      </w:pPr>
    </w:p>
    <w:p>
      <w:pPr>
        <w:ind w:left="1340" w:hanging="454"/>
        <w:spacing w:after="0"/>
        <w:tabs>
          <w:tab w:leader="none" w:pos="134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w:t>
      </w:r>
    </w:p>
    <w:p>
      <w:pPr>
        <w:spacing w:after="0" w:line="4" w:lineRule="exact"/>
        <w:rPr>
          <w:sz w:val="20"/>
          <w:szCs w:val="20"/>
          <w:color w:val="auto"/>
        </w:rPr>
      </w:pPr>
    </w:p>
    <w:p>
      <w:pPr>
        <w:ind w:right="4419" w:firstLine="894"/>
        <w:spacing w:after="0" w:line="242" w:lineRule="auto"/>
        <w:rPr>
          <w:sz w:val="20"/>
          <w:szCs w:val="20"/>
          <w:color w:val="auto"/>
        </w:rPr>
      </w:pPr>
      <w:r>
        <w:rPr>
          <w:rFonts w:ascii="Courier New" w:cs="Courier New" w:eastAsia="Courier New" w:hAnsi="Courier New"/>
          <w:sz w:val="15"/>
          <w:szCs w:val="15"/>
          <w:color w:val="auto"/>
        </w:rPr>
        <w:t>All options granted under the Plan shall be subject to the requirement that, if at any time the Board shall determine, in its discretion, that the listing, registration or qualification of the shares subject to options granted under the Plan upon any securities exchange or under any state or federal law, or the consent or approval of any government regulatory body, is necessary or desirable as a condition of, or in connection with, the granting of such option or the issuance, if any, or purchase of shares in connection therewith, such option may not be exercised in whole or in part unless such listing, registration, qualification, consent or approval shall have been effected or obtained free of any conditions not acceptable to the Board.</w:t>
      </w:r>
    </w:p>
    <w:p>
      <w:pPr>
        <w:spacing w:after="0" w:line="7" w:lineRule="exact"/>
        <w:rPr>
          <w:sz w:val="20"/>
          <w:szCs w:val="20"/>
          <w:color w:val="auto"/>
        </w:rPr>
      </w:pPr>
    </w:p>
    <w:p>
      <w:pPr>
        <w:ind w:left="1340" w:hanging="454"/>
        <w:spacing w:after="0"/>
        <w:tabs>
          <w:tab w:leader="none" w:pos="134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NONASSIGNABILITY.</w:t>
      </w:r>
    </w:p>
    <w:p>
      <w:pPr>
        <w:spacing w:after="0" w:line="4" w:lineRule="exact"/>
        <w:rPr>
          <w:sz w:val="20"/>
          <w:szCs w:val="20"/>
          <w:color w:val="auto"/>
        </w:rPr>
      </w:pPr>
    </w:p>
    <w:p>
      <w:pPr>
        <w:ind w:right="4679" w:firstLine="894"/>
        <w:spacing w:after="0" w:line="242" w:lineRule="auto"/>
        <w:rPr>
          <w:sz w:val="20"/>
          <w:szCs w:val="20"/>
          <w:color w:val="auto"/>
        </w:rPr>
      </w:pPr>
      <w:r>
        <w:rPr>
          <w:rFonts w:ascii="Courier New" w:cs="Courier New" w:eastAsia="Courier New" w:hAnsi="Courier New"/>
          <w:sz w:val="15"/>
          <w:szCs w:val="15"/>
          <w:color w:val="auto"/>
        </w:rPr>
        <w:t>No option shall be assignable or transferable by the grantee except by will or by the laws of descent and distribution. During the lifetime of the optionee, the option shall be exercisable only by him, and no other person shall acquire any rights therein.</w:t>
      </w:r>
    </w:p>
    <w:p>
      <w:pPr>
        <w:spacing w:after="0" w:line="2" w:lineRule="exact"/>
        <w:rPr>
          <w:sz w:val="20"/>
          <w:szCs w:val="20"/>
          <w:color w:val="auto"/>
        </w:rPr>
      </w:pPr>
    </w:p>
    <w:p>
      <w:pPr>
        <w:ind w:left="1340" w:hanging="454"/>
        <w:spacing w:after="0"/>
        <w:tabs>
          <w:tab w:leader="none" w:pos="13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TAXES.</w:t>
      </w:r>
    </w:p>
    <w:p>
      <w:pPr>
        <w:spacing w:after="0" w:line="4" w:lineRule="exact"/>
        <w:rPr>
          <w:sz w:val="20"/>
          <w:szCs w:val="20"/>
          <w:color w:val="auto"/>
        </w:rPr>
      </w:pPr>
    </w:p>
    <w:p>
      <w:pPr>
        <w:ind w:right="4499" w:firstLine="894"/>
        <w:spacing w:after="0" w:line="260" w:lineRule="auto"/>
        <w:rPr>
          <w:sz w:val="20"/>
          <w:szCs w:val="20"/>
          <w:color w:val="auto"/>
        </w:rPr>
      </w:pPr>
      <w:r>
        <w:rPr>
          <w:rFonts w:ascii="Courier New" w:cs="Courier New" w:eastAsia="Courier New" w:hAnsi="Courier New"/>
          <w:sz w:val="14"/>
          <w:szCs w:val="14"/>
          <w:color w:val="auto"/>
        </w:rPr>
        <w:t>Whenever shares of Common Stock are to be issued under the Plan, the Company shall have the right to require the optionee to remit to the Company an amount sufficient to satisfy federal, state and local withholding tax requirements prior to the delivery of any certificate or certificates for such shares.</w:t>
      </w:r>
    </w:p>
    <w:p>
      <w:pPr>
        <w:ind w:left="1340" w:hanging="454"/>
        <w:spacing w:after="0"/>
        <w:tabs>
          <w:tab w:leader="none" w:pos="13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 OF "FAIR MARKET VALUE".</w:t>
      </w:r>
    </w:p>
    <w:p>
      <w:pPr>
        <w:spacing w:after="0" w:line="3" w:lineRule="exact"/>
        <w:rPr>
          <w:sz w:val="20"/>
          <w:szCs w:val="20"/>
          <w:color w:val="auto"/>
        </w:rPr>
      </w:pPr>
    </w:p>
    <w:p>
      <w:pPr>
        <w:ind w:right="4499" w:firstLine="894"/>
        <w:spacing w:after="0" w:line="242" w:lineRule="auto"/>
        <w:rPr>
          <w:sz w:val="20"/>
          <w:szCs w:val="20"/>
          <w:color w:val="auto"/>
        </w:rPr>
      </w:pPr>
      <w:r>
        <w:rPr>
          <w:rFonts w:ascii="Courier New" w:cs="Courier New" w:eastAsia="Courier New" w:hAnsi="Courier New"/>
          <w:sz w:val="15"/>
          <w:szCs w:val="15"/>
          <w:color w:val="auto"/>
        </w:rPr>
        <w:t>For the purposes of this Plan, the term "fair market value," when used in reference to the date of grant of an option or the date of surrender of Common Stock in payment for the purchase of shares pursuant to the exercise of an option, as the case may be, shall be the last reported sale price in the NASDAQ National Market System on such date as published in The Wall Street Journal or, if no report is available for such date, the next preceding date for which a report is available.</w:t>
      </w:r>
    </w:p>
    <w:p>
      <w:pPr>
        <w:spacing w:after="0" w:line="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ARTICLE II</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STOCK OPTIONS</w:t>
      </w:r>
    </w:p>
    <w:p>
      <w:pPr>
        <w:spacing w:after="0" w:line="2" w:lineRule="exact"/>
        <w:rPr>
          <w:sz w:val="20"/>
          <w:szCs w:val="20"/>
          <w:color w:val="auto"/>
        </w:rPr>
      </w:pPr>
    </w:p>
    <w:p>
      <w:pPr>
        <w:ind w:left="1340" w:hanging="454"/>
        <w:spacing w:after="0"/>
        <w:tabs>
          <w:tab w:leader="none" w:pos="13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OF STOCK OPTIONS.</w:t>
      </w:r>
    </w:p>
    <w:p>
      <w:pPr>
        <w:spacing w:after="0" w:line="4" w:lineRule="exact"/>
        <w:rPr>
          <w:sz w:val="20"/>
          <w:szCs w:val="20"/>
          <w:color w:val="auto"/>
        </w:rPr>
      </w:pPr>
    </w:p>
    <w:p>
      <w:pPr>
        <w:ind w:right="4419" w:firstLine="894"/>
        <w:spacing w:after="0" w:line="242" w:lineRule="auto"/>
        <w:rPr>
          <w:sz w:val="20"/>
          <w:szCs w:val="20"/>
          <w:color w:val="auto"/>
        </w:rPr>
      </w:pPr>
      <w:r>
        <w:rPr>
          <w:rFonts w:ascii="Courier New" w:cs="Courier New" w:eastAsia="Courier New" w:hAnsi="Courier New"/>
          <w:sz w:val="15"/>
          <w:szCs w:val="15"/>
          <w:color w:val="auto"/>
        </w:rPr>
        <w:t>Awards of stock options shall be made under the Plan under all the terms and conditions contained herein. Each option granted under the Plan shall be evidenced by an option agreement duly executed on behalf of the Company and by the director to whom such option is granted, which option agreements may but need not be identical and shall comply with and be subject to the terms and conditions of the Plan. Any option agreement may contain such other terms, provisions and conditions not inconsistent with the Plan as may be determined by the Board.</w:t>
      </w:r>
    </w:p>
    <w:p>
      <w:pPr>
        <w:spacing w:after="0" w:line="6" w:lineRule="exact"/>
        <w:rPr>
          <w:sz w:val="20"/>
          <w:szCs w:val="20"/>
          <w:color w:val="auto"/>
        </w:rPr>
      </w:pPr>
    </w:p>
    <w:p>
      <w:pPr>
        <w:ind w:left="880" w:right="4779" w:firstLine="6"/>
        <w:spacing w:after="0" w:line="260" w:lineRule="auto"/>
        <w:tabs>
          <w:tab w:leader="none" w:pos="1327"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OPTIONS AND EFFECT OF TERMINATION. Notwithstanding any other provision of the Plan, no</w:t>
      </w:r>
    </w:p>
    <w:p>
      <w:pPr>
        <w:ind w:right="4859"/>
        <w:spacing w:after="0"/>
        <w:rPr>
          <w:sz w:val="20"/>
          <w:szCs w:val="20"/>
          <w:color w:val="auto"/>
        </w:rPr>
      </w:pPr>
      <w:r>
        <w:rPr>
          <w:rFonts w:ascii="Courier New" w:cs="Courier New" w:eastAsia="Courier New" w:hAnsi="Courier New"/>
          <w:sz w:val="15"/>
          <w:szCs w:val="15"/>
          <w:color w:val="auto"/>
        </w:rPr>
        <w:t>option granted under the Plan shall be exercisable after the expiration of five years from the date of its grant.</w:t>
      </w:r>
    </w:p>
    <w:p>
      <w:pPr>
        <w:spacing w:after="0" w:line="4" w:lineRule="exact"/>
        <w:rPr>
          <w:sz w:val="20"/>
          <w:szCs w:val="20"/>
          <w:color w:val="auto"/>
        </w:rPr>
      </w:pPr>
    </w:p>
    <w:p>
      <w:pPr>
        <w:ind w:right="4419" w:firstLine="894"/>
        <w:spacing w:after="0" w:line="260" w:lineRule="auto"/>
        <w:rPr>
          <w:sz w:val="20"/>
          <w:szCs w:val="20"/>
          <w:color w:val="auto"/>
        </w:rPr>
      </w:pPr>
      <w:r>
        <w:rPr>
          <w:rFonts w:ascii="Courier New" w:cs="Courier New" w:eastAsia="Courier New" w:hAnsi="Courier New"/>
          <w:sz w:val="14"/>
          <w:szCs w:val="14"/>
          <w:color w:val="auto"/>
        </w:rPr>
        <w:t>In the event that any outstanding option under the Plan expires by reason of lapse of time or otherwise is terminated for any reason, then the shares of Common Stock subject to any such option which have not been issued pursuant to the exercise of the option shall again become available in the pool of shares of Common Stock for which options may be granted under the Plan.</w:t>
      </w:r>
    </w:p>
    <w:p>
      <w:pPr>
        <w:ind w:left="1340" w:hanging="454"/>
        <w:spacing w:after="0"/>
        <w:tabs>
          <w:tab w:leader="none" w:pos="13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AND CONDITIONS OF OPTIONS.</w:t>
      </w:r>
    </w:p>
    <w:p>
      <w:pPr>
        <w:spacing w:after="0" w:line="3" w:lineRule="exact"/>
        <w:rPr>
          <w:sz w:val="20"/>
          <w:szCs w:val="20"/>
          <w:color w:val="auto"/>
        </w:rPr>
      </w:pPr>
    </w:p>
    <w:p>
      <w:pPr>
        <w:ind w:right="4419" w:firstLine="894"/>
        <w:spacing w:after="0" w:line="242" w:lineRule="auto"/>
        <w:rPr>
          <w:sz w:val="20"/>
          <w:szCs w:val="20"/>
          <w:color w:val="auto"/>
        </w:rPr>
      </w:pPr>
      <w:r>
        <w:rPr>
          <w:rFonts w:ascii="Courier New" w:cs="Courier New" w:eastAsia="Courier New" w:hAnsi="Courier New"/>
          <w:sz w:val="15"/>
          <w:szCs w:val="15"/>
          <w:color w:val="auto"/>
        </w:rPr>
        <w:t>Options granted pursuant to the Plan shall be evidenced by agreements in such form as the Board shall from time to time determine, which agreements shall comply with the following terms and conditions.</w:t>
      </w:r>
    </w:p>
    <w:p>
      <w:pPr>
        <w:spacing w:after="0" w:line="1" w:lineRule="exact"/>
        <w:rPr>
          <w:sz w:val="20"/>
          <w:szCs w:val="20"/>
          <w:color w:val="auto"/>
        </w:rPr>
      </w:pPr>
    </w:p>
    <w:p>
      <w:pPr>
        <w:ind w:left="1780" w:hanging="447"/>
        <w:spacing w:after="0"/>
        <w:tabs>
          <w:tab w:leader="none" w:pos="17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w:t>
      </w:r>
    </w:p>
    <w:p>
      <w:pPr>
        <w:spacing w:after="0" w:line="4" w:lineRule="exact"/>
        <w:rPr>
          <w:sz w:val="20"/>
          <w:szCs w:val="20"/>
          <w:color w:val="auto"/>
        </w:rPr>
      </w:pPr>
    </w:p>
    <w:p>
      <w:pPr>
        <w:ind w:right="4679" w:firstLine="1342"/>
        <w:spacing w:after="0"/>
        <w:rPr>
          <w:sz w:val="20"/>
          <w:szCs w:val="20"/>
          <w:color w:val="auto"/>
        </w:rPr>
      </w:pPr>
      <w:r>
        <w:rPr>
          <w:rFonts w:ascii="Courier New" w:cs="Courier New" w:eastAsia="Courier New" w:hAnsi="Courier New"/>
          <w:sz w:val="15"/>
          <w:szCs w:val="15"/>
          <w:color w:val="auto"/>
        </w:rPr>
        <w:t>Each option agreement shall state the number of shares to which the option pertains.</w:t>
      </w:r>
    </w:p>
    <w:p>
      <w:pPr>
        <w:spacing w:after="0" w:line="2" w:lineRule="exact"/>
        <w:rPr>
          <w:sz w:val="20"/>
          <w:szCs w:val="20"/>
          <w:color w:val="auto"/>
        </w:rPr>
      </w:pPr>
    </w:p>
    <w:p>
      <w:pPr>
        <w:ind w:left="1780" w:hanging="447"/>
        <w:spacing w:after="0"/>
        <w:tabs>
          <w:tab w:leader="none" w:pos="17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Price</w:t>
      </w:r>
    </w:p>
    <w:p>
      <w:pPr>
        <w:spacing w:after="0" w:line="4" w:lineRule="exact"/>
        <w:rPr>
          <w:sz w:val="20"/>
          <w:szCs w:val="20"/>
          <w:color w:val="auto"/>
        </w:rPr>
      </w:pPr>
    </w:p>
    <w:p>
      <w:pPr>
        <w:ind w:right="4419" w:firstLine="1342"/>
        <w:spacing w:after="0" w:line="260" w:lineRule="auto"/>
        <w:rPr>
          <w:sz w:val="20"/>
          <w:szCs w:val="20"/>
          <w:color w:val="auto"/>
        </w:rPr>
      </w:pPr>
      <w:r>
        <w:rPr>
          <w:rFonts w:ascii="Courier New" w:cs="Courier New" w:eastAsia="Courier New" w:hAnsi="Courier New"/>
          <w:sz w:val="14"/>
          <w:szCs w:val="14"/>
          <w:color w:val="auto"/>
        </w:rPr>
        <w:t>Each option agreement shall state the option price per share (or the method by which such price shall be computed), which shall be equal to 100% of the fair market value of a share of the Common Stock on the date such option is granted.</w:t>
      </w:r>
    </w:p>
    <w:p>
      <w:pPr>
        <w:ind w:left="1780" w:hanging="447"/>
        <w:spacing w:after="0"/>
        <w:tabs>
          <w:tab w:leader="none" w:pos="17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Medium and Time of Payment</w:t>
      </w:r>
    </w:p>
    <w:p>
      <w:pPr>
        <w:spacing w:after="0" w:line="3" w:lineRule="exact"/>
        <w:rPr>
          <w:sz w:val="20"/>
          <w:szCs w:val="20"/>
          <w:color w:val="auto"/>
        </w:rPr>
      </w:pPr>
    </w:p>
    <w:p>
      <w:pPr>
        <w:ind w:right="4419" w:firstLine="1342"/>
        <w:spacing w:after="0" w:line="242" w:lineRule="auto"/>
        <w:rPr>
          <w:sz w:val="20"/>
          <w:szCs w:val="20"/>
          <w:color w:val="auto"/>
        </w:rPr>
      </w:pPr>
      <w:r>
        <w:rPr>
          <w:rFonts w:ascii="Courier New" w:cs="Courier New" w:eastAsia="Courier New" w:hAnsi="Courier New"/>
          <w:sz w:val="15"/>
          <w:szCs w:val="15"/>
          <w:color w:val="auto"/>
        </w:rPr>
        <w:t>The option price shall be payable upon the exercise of an option in the legal tender of the United States or in shares of the Common Stock or in a combination of such legal tender and such shares. Upon receipt of payment, the Company shall deliver to the optionee (or person entitled to exercise the option) a certificate or certificates for the shares of Common Stock to which the option pertains.</w:t>
      </w:r>
    </w:p>
    <w:p>
      <w:pPr>
        <w:spacing w:after="0" w:line="3" w:lineRule="exact"/>
        <w:rPr>
          <w:sz w:val="20"/>
          <w:szCs w:val="20"/>
          <w:color w:val="auto"/>
        </w:rPr>
      </w:pPr>
    </w:p>
    <w:p>
      <w:pPr>
        <w:ind w:left="1780" w:hanging="447"/>
        <w:spacing w:after="0"/>
        <w:tabs>
          <w:tab w:leader="none" w:pos="17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Options</w:t>
      </w:r>
    </w:p>
    <w:p>
      <w:pPr>
        <w:spacing w:after="0" w:line="4" w:lineRule="exact"/>
        <w:rPr>
          <w:sz w:val="20"/>
          <w:szCs w:val="20"/>
          <w:color w:val="auto"/>
        </w:rPr>
      </w:pPr>
    </w:p>
    <w:p>
      <w:pPr>
        <w:ind w:right="4419" w:firstLine="1342"/>
        <w:spacing w:after="0" w:line="263" w:lineRule="auto"/>
        <w:rPr>
          <w:sz w:val="20"/>
          <w:szCs w:val="20"/>
          <w:color w:val="auto"/>
        </w:rPr>
      </w:pPr>
      <w:r>
        <w:rPr>
          <w:rFonts w:ascii="Courier New" w:cs="Courier New" w:eastAsia="Courier New" w:hAnsi="Courier New"/>
          <w:sz w:val="14"/>
          <w:szCs w:val="14"/>
          <w:color w:val="auto"/>
        </w:rPr>
        <w:t>Options granted to directors other than the Appointment Grant shall become exercisable in installments to the extent of one-fourth, excluding fractional shares, of the shares covered by the option on the date one year after the Grant Date, an additional one-fourth, excluding fractional shares, of the shares covered by the option on the date two years after the</w:t>
      </w:r>
    </w:p>
    <w:p>
      <w:pPr>
        <w:sectPr>
          <w:pgSz w:w="11900" w:h="16866" w:orient="portrait"/>
          <w:cols w:equalWidth="0" w:num="1">
            <w:col w:w="10219"/>
          </w:cols>
          <w:pgMar w:left="240" w:top="141" w:right="1440" w:bottom="0" w:gutter="0" w:footer="0" w:header="0"/>
        </w:sectPr>
      </w:pPr>
    </w:p>
    <w:bookmarkStart w:id="8" w:name="page9"/>
    <w:bookmarkEnd w:id="8"/>
    <w:p>
      <w:pPr>
        <w:spacing w:after="0" w:line="13" w:lineRule="exact"/>
        <w:rPr>
          <w:sz w:val="20"/>
          <w:szCs w:val="20"/>
          <w:color w:val="auto"/>
        </w:rPr>
      </w:pPr>
    </w:p>
    <w:p>
      <w:pPr>
        <w:ind w:left="8" w:right="4599"/>
        <w:spacing w:after="0" w:line="242" w:lineRule="auto"/>
        <w:rPr>
          <w:sz w:val="20"/>
          <w:szCs w:val="20"/>
          <w:color w:val="auto"/>
        </w:rPr>
      </w:pPr>
      <w:r>
        <w:rPr>
          <w:rFonts w:ascii="Courier New" w:cs="Courier New" w:eastAsia="Courier New" w:hAnsi="Courier New"/>
          <w:sz w:val="15"/>
          <w:szCs w:val="15"/>
          <w:color w:val="auto"/>
        </w:rPr>
        <w:t>Grant Date, an additional one-fourth, excluding fractional shares, of the shares covered by the option on the date three years after the Grant Date, and the remaining shares covered by the option on the date four years after the Grant Date.</w:t>
      </w:r>
    </w:p>
    <w:p>
      <w:pPr>
        <w:spacing w:after="0" w:line="3" w:lineRule="exact"/>
        <w:rPr>
          <w:sz w:val="20"/>
          <w:szCs w:val="20"/>
          <w:color w:val="auto"/>
        </w:rPr>
      </w:pPr>
    </w:p>
    <w:p>
      <w:pPr>
        <w:ind w:left="8" w:right="4419" w:firstLine="1342"/>
        <w:spacing w:after="0" w:line="260" w:lineRule="auto"/>
        <w:rPr>
          <w:sz w:val="20"/>
          <w:szCs w:val="20"/>
          <w:color w:val="auto"/>
        </w:rPr>
      </w:pPr>
      <w:r>
        <w:rPr>
          <w:rFonts w:ascii="Courier New" w:cs="Courier New" w:eastAsia="Courier New" w:hAnsi="Courier New"/>
          <w:sz w:val="14"/>
          <w:szCs w:val="14"/>
          <w:color w:val="auto"/>
        </w:rPr>
        <w:t>Options granted pursuant to the Appointment Grant shall become exercisable with respect to 6,000 shares on the date one year after the Grant Date; an additional 5,5003/ shares on the date two years after the Grant Date; an additional 5,0003/ shares on the date three years after the Grant Date; and the final 3,5003/ shares on the date four years after the Grant Date.</w:t>
      </w:r>
    </w:p>
    <w:p>
      <w:pPr>
        <w:spacing w:after="0" w:line="1" w:lineRule="exact"/>
        <w:rPr>
          <w:sz w:val="20"/>
          <w:szCs w:val="20"/>
          <w:color w:val="auto"/>
        </w:rPr>
      </w:pPr>
    </w:p>
    <w:p>
      <w:pPr>
        <w:ind w:left="8" w:right="4419" w:firstLine="1342"/>
        <w:spacing w:after="0" w:line="242" w:lineRule="auto"/>
        <w:rPr>
          <w:sz w:val="20"/>
          <w:szCs w:val="20"/>
          <w:color w:val="auto"/>
        </w:rPr>
      </w:pPr>
      <w:r>
        <w:rPr>
          <w:rFonts w:ascii="Courier New" w:cs="Courier New" w:eastAsia="Courier New" w:hAnsi="Courier New"/>
          <w:sz w:val="15"/>
          <w:szCs w:val="15"/>
          <w:color w:val="auto"/>
        </w:rPr>
        <w:t>To the extent that an option has become exercisable and subject to the restrictions and limitations set forth in this Plan and any option agreement, it may be exercised in whole or such lesser amount as may be authorized by the option agreement, provided, however, that no option shall be exercised for fewer than ten shares. If exercised in part, the unexercised portion of an option shall continue to be held by the optionee and may thereafter be exercised as provided herein.</w:t>
      </w:r>
    </w:p>
    <w:p>
      <w:pPr>
        <w:spacing w:after="0" w:line="5" w:lineRule="exact"/>
        <w:rPr>
          <w:sz w:val="20"/>
          <w:szCs w:val="20"/>
          <w:color w:val="auto"/>
        </w:rPr>
      </w:pPr>
    </w:p>
    <w:p>
      <w:pPr>
        <w:ind w:left="1348" w:right="4499" w:hanging="7"/>
        <w:spacing w:after="0" w:line="260" w:lineRule="auto"/>
        <w:tabs>
          <w:tab w:leader="none" w:pos="1795"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Directorship Except by Death In the event that an optionee shall cease to be a</w:t>
      </w:r>
    </w:p>
    <w:p>
      <w:pPr>
        <w:ind w:left="8" w:right="4419"/>
        <w:spacing w:after="0" w:line="242" w:lineRule="auto"/>
        <w:rPr>
          <w:sz w:val="20"/>
          <w:szCs w:val="20"/>
          <w:color w:val="auto"/>
        </w:rPr>
      </w:pPr>
      <w:r>
        <w:rPr>
          <w:rFonts w:ascii="Courier New" w:cs="Courier New" w:eastAsia="Courier New" w:hAnsi="Courier New"/>
          <w:sz w:val="15"/>
          <w:szCs w:val="15"/>
          <w:color w:val="auto"/>
        </w:rPr>
        <w:t>director of the Company for any reason other than his death, his option shall be exercisable, to the extent it was exercisable at the date he ceased to be a director, for a period of seven months after such date, and shall then terminate. Such option may be exercised at any time within such seven-month period and prior to the date on which the option expires by its terms.</w:t>
      </w:r>
    </w:p>
    <w:p>
      <w:pPr>
        <w:spacing w:after="0" w:line="4" w:lineRule="exact"/>
        <w:rPr>
          <w:sz w:val="20"/>
          <w:szCs w:val="20"/>
          <w:color w:val="auto"/>
        </w:rPr>
      </w:pPr>
    </w:p>
    <w:p>
      <w:pPr>
        <w:ind w:left="1348" w:right="4859" w:hanging="7"/>
        <w:spacing w:after="0" w:line="260" w:lineRule="auto"/>
        <w:tabs>
          <w:tab w:leader="none" w:pos="1795" w:val="left"/>
        </w:tabs>
        <w:numPr>
          <w:ilvl w:val="0"/>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of Optionee and Transfer of Option If an optionee dies while a director of the</w:t>
      </w:r>
    </w:p>
    <w:p>
      <w:pPr>
        <w:ind w:left="8" w:right="4419"/>
        <w:spacing w:after="0" w:line="242" w:lineRule="auto"/>
        <w:rPr>
          <w:sz w:val="20"/>
          <w:szCs w:val="20"/>
          <w:color w:val="auto"/>
        </w:rPr>
      </w:pPr>
      <w:r>
        <w:rPr>
          <w:rFonts w:ascii="Courier New" w:cs="Courier New" w:eastAsia="Courier New" w:hAnsi="Courier New"/>
          <w:sz w:val="15"/>
          <w:szCs w:val="15"/>
          <w:color w:val="auto"/>
        </w:rPr>
        <w:t>Company, or within the seven-month period after termination of such status during which he is permitted to exercise an option in accordance with Subsection 3(E) of this Article II, such option may be exercised at any time within one year after the optionee's death, but only to the extent the option was exercisable at the time of death. Such option may be exercised at any time within such one year period and prior to the date on which the option expires by its terms. During such period, such option may be exercised by any person or persons designated by the optionee on a Beneficiary Designation Form adopted by the Board for such purpose, or, if there is no effective Beneficiary Designation Form on file with the Board, by the executors or administrators of the optionee's estate or by any person or persons who shall have acquired the option directly from the optionee by his will or the applicable law of descent and distribution.</w:t>
      </w:r>
    </w:p>
    <w:p>
      <w:pPr>
        <w:spacing w:after="0" w:line="9" w:lineRule="exact"/>
        <w:rPr>
          <w:sz w:val="20"/>
          <w:szCs w:val="20"/>
          <w:color w:val="auto"/>
        </w:rPr>
      </w:pPr>
    </w:p>
    <w:p>
      <w:pPr>
        <w:jc w:val="center"/>
        <w:ind w:right="4411"/>
        <w:spacing w:after="0"/>
        <w:rPr>
          <w:sz w:val="20"/>
          <w:szCs w:val="20"/>
          <w:color w:val="auto"/>
        </w:rPr>
      </w:pPr>
      <w:r>
        <w:rPr>
          <w:rFonts w:ascii="Courier New" w:cs="Courier New" w:eastAsia="Courier New" w:hAnsi="Courier New"/>
          <w:sz w:val="15"/>
          <w:szCs w:val="15"/>
          <w:color w:val="auto"/>
        </w:rPr>
        <w:t>ARTICLE III</w:t>
      </w:r>
    </w:p>
    <w:p>
      <w:pPr>
        <w:spacing w:after="0" w:line="2" w:lineRule="exact"/>
        <w:rPr>
          <w:sz w:val="20"/>
          <w:szCs w:val="20"/>
          <w:color w:val="auto"/>
        </w:rPr>
      </w:pPr>
    </w:p>
    <w:p>
      <w:pPr>
        <w:jc w:val="center"/>
        <w:ind w:right="4411"/>
        <w:spacing w:after="0"/>
        <w:rPr>
          <w:sz w:val="20"/>
          <w:szCs w:val="20"/>
          <w:color w:val="auto"/>
        </w:rPr>
      </w:pPr>
      <w:r>
        <w:rPr>
          <w:rFonts w:ascii="Courier New" w:cs="Courier New" w:eastAsia="Courier New" w:hAnsi="Courier New"/>
          <w:sz w:val="15"/>
          <w:szCs w:val="15"/>
          <w:color w:val="auto"/>
        </w:rPr>
        <w:t>RECAPITALIZATIONS AND REORGANIZATIONS</w:t>
      </w:r>
    </w:p>
    <w:p>
      <w:pPr>
        <w:spacing w:after="0" w:line="4" w:lineRule="exact"/>
        <w:rPr>
          <w:sz w:val="20"/>
          <w:szCs w:val="20"/>
          <w:color w:val="auto"/>
        </w:rPr>
      </w:pPr>
    </w:p>
    <w:p>
      <w:pPr>
        <w:ind w:left="8" w:right="4419" w:firstLine="894"/>
        <w:spacing w:after="0" w:line="242" w:lineRule="auto"/>
        <w:rPr>
          <w:sz w:val="20"/>
          <w:szCs w:val="20"/>
          <w:color w:val="auto"/>
        </w:rPr>
      </w:pPr>
      <w:r>
        <w:rPr>
          <w:rFonts w:ascii="Courier New" w:cs="Courier New" w:eastAsia="Courier New" w:hAnsi="Courier New"/>
          <w:sz w:val="15"/>
          <w:szCs w:val="15"/>
          <w:color w:val="auto"/>
        </w:rPr>
        <w:t>The number of shares of Common Stock covered by the Plan, the number of shares and price per share of each outstanding option, and the number of shares subject to each grant provided for in Article I, Section 3 hereof shall be proportionately adjusted for any increase or decrease in the number of issued and outstanding shares of Common Stock resulting from a subdivision or consolidation of shares or the payment of a stock dividend or any other increase or decrease in the number of issued and outstanding shares of Common Stock effected without receipt of consideration by the Company.</w:t>
      </w:r>
    </w:p>
    <w:p>
      <w:pPr>
        <w:spacing w:after="0" w:line="7" w:lineRule="exact"/>
        <w:rPr>
          <w:sz w:val="20"/>
          <w:szCs w:val="20"/>
          <w:color w:val="auto"/>
        </w:rPr>
      </w:pPr>
    </w:p>
    <w:p>
      <w:pPr>
        <w:ind w:left="8" w:right="4419" w:firstLine="894"/>
        <w:spacing w:after="0" w:line="261" w:lineRule="auto"/>
        <w:rPr>
          <w:sz w:val="20"/>
          <w:szCs w:val="20"/>
          <w:color w:val="auto"/>
        </w:rPr>
      </w:pPr>
      <w:r>
        <w:rPr>
          <w:rFonts w:ascii="Courier New" w:cs="Courier New" w:eastAsia="Courier New" w:hAnsi="Courier New"/>
          <w:sz w:val="14"/>
          <w:szCs w:val="14"/>
          <w:color w:val="auto"/>
        </w:rPr>
        <w:t>If the Company shall be the surviving corporation in any merger or consolidation, each outstanding option shall pertain to and apply to the securities to which a holder of the same number of shares of Common Stock that are subject to that option would have been entitled. A dissolution or liquidation of the Company, or a merger or consolidation in which the Company is not the surviving corporation, shall cause each outstanding option to terminate, unless the agreement of merger or consolidation shall otherwise provide; provided that, in the event such dissolution, liquidation, merger or consolidation will cause outstanding options to terminate, each optionee shall have the right immediately prior to such dissolution, liquidation, merger or consolidation to exercise his option in whole or in part without regard to any limitations on the exercisability of such option other than (i) the expiration date of the option,</w:t>
      </w:r>
    </w:p>
    <w:p>
      <w:pPr>
        <w:spacing w:after="0" w:line="164" w:lineRule="exact"/>
        <w:rPr>
          <w:sz w:val="20"/>
          <w:szCs w:val="20"/>
          <w:color w:val="auto"/>
        </w:rPr>
      </w:pPr>
    </w:p>
    <w:p>
      <w:pPr>
        <w:ind w:left="448" w:hanging="448"/>
        <w:spacing w:after="0"/>
        <w:tabs>
          <w:tab w:leader="none" w:pos="44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limitation set forth in Section 9 of Article I, and</w:t>
      </w:r>
    </w:p>
    <w:p>
      <w:pPr>
        <w:spacing w:after="0" w:line="3" w:lineRule="exact"/>
        <w:rPr>
          <w:rFonts w:ascii="Courier New" w:cs="Courier New" w:eastAsia="Courier New" w:hAnsi="Courier New"/>
          <w:sz w:val="15"/>
          <w:szCs w:val="15"/>
          <w:color w:val="auto"/>
        </w:rPr>
      </w:pPr>
    </w:p>
    <w:p>
      <w:pPr>
        <w:ind w:left="8" w:right="4959" w:hanging="8"/>
        <w:spacing w:after="0"/>
        <w:tabs>
          <w:tab w:leader="none" w:pos="545"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ten share limitation set forth in Section 3(D) of Article II.</w:t>
      </w:r>
    </w:p>
    <w:p>
      <w:pPr>
        <w:spacing w:after="0" w:line="4" w:lineRule="exact"/>
        <w:rPr>
          <w:rFonts w:ascii="Courier New" w:cs="Courier New" w:eastAsia="Courier New" w:hAnsi="Courier New"/>
          <w:sz w:val="15"/>
          <w:szCs w:val="15"/>
          <w:color w:val="auto"/>
        </w:rPr>
      </w:pPr>
    </w:p>
    <w:p>
      <w:pPr>
        <w:ind w:left="8" w:right="4499" w:firstLine="894"/>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the foregoing adjustments relate to stock or securities of the Company, such adjustments shall be made by the Board, whose determination in that respect shall be final, binding and conclusive.</w:t>
      </w:r>
    </w:p>
    <w:p>
      <w:pPr>
        <w:spacing w:after="0" w:line="2" w:lineRule="exact"/>
        <w:rPr>
          <w:rFonts w:ascii="Courier New" w:cs="Courier New" w:eastAsia="Courier New" w:hAnsi="Courier New"/>
          <w:sz w:val="15"/>
          <w:szCs w:val="15"/>
          <w:color w:val="auto"/>
        </w:rPr>
      </w:pPr>
    </w:p>
    <w:p>
      <w:pPr>
        <w:ind w:left="8" w:right="4419" w:firstLine="894"/>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grant of an option pursuant to the Plan shall not affect in any way the right or power of the Company to make adjustments, reclassifications, reorganizations or changes of its capital or business structure or to merge or to consolidate or to dissolve, liquidate or sell, or transfer all or any part of</w:t>
      </w:r>
    </w:p>
    <w:p>
      <w:pPr>
        <w:ind w:left="8"/>
        <w:spacing w:after="0"/>
        <w:rPr>
          <w:sz w:val="20"/>
          <w:szCs w:val="20"/>
          <w:color w:val="auto"/>
        </w:rPr>
      </w:pPr>
      <w:r>
        <w:rPr>
          <w:rFonts w:ascii="Courier New" w:cs="Courier New" w:eastAsia="Courier New" w:hAnsi="Courier New"/>
          <w:sz w:val="15"/>
          <w:szCs w:val="15"/>
          <w:color w:val="auto"/>
        </w:rPr>
        <w:t>its business or assets.</w:t>
      </w:r>
    </w:p>
    <w:p>
      <w:pPr>
        <w:spacing w:after="0" w:line="1" w:lineRule="exact"/>
        <w:rPr>
          <w:sz w:val="20"/>
          <w:szCs w:val="20"/>
          <w:color w:val="auto"/>
        </w:rPr>
      </w:pPr>
    </w:p>
    <w:p>
      <w:pPr>
        <w:jc w:val="center"/>
        <w:ind w:right="4491"/>
        <w:spacing w:after="0"/>
        <w:rPr>
          <w:sz w:val="20"/>
          <w:szCs w:val="20"/>
          <w:color w:val="auto"/>
        </w:rPr>
      </w:pPr>
      <w:r>
        <w:rPr>
          <w:rFonts w:ascii="Courier New" w:cs="Courier New" w:eastAsia="Courier New" w:hAnsi="Courier New"/>
          <w:sz w:val="15"/>
          <w:szCs w:val="15"/>
          <w:color w:val="auto"/>
        </w:rPr>
        <w:t>ARTICLE IV</w:t>
      </w:r>
    </w:p>
    <w:p>
      <w:pPr>
        <w:spacing w:after="0" w:line="2" w:lineRule="exact"/>
        <w:rPr>
          <w:sz w:val="20"/>
          <w:szCs w:val="20"/>
          <w:color w:val="auto"/>
        </w:rPr>
      </w:pPr>
    </w:p>
    <w:p>
      <w:pPr>
        <w:jc w:val="center"/>
        <w:ind w:right="4491"/>
        <w:spacing w:after="0"/>
        <w:rPr>
          <w:sz w:val="20"/>
          <w:szCs w:val="20"/>
          <w:color w:val="auto"/>
        </w:rPr>
      </w:pPr>
      <w:r>
        <w:rPr>
          <w:rFonts w:ascii="Courier New" w:cs="Courier New" w:eastAsia="Courier New" w:hAnsi="Courier New"/>
          <w:sz w:val="15"/>
          <w:szCs w:val="15"/>
          <w:color w:val="auto"/>
        </w:rPr>
        <w:t>MISCELLANEOUS PROVISIONS</w:t>
      </w:r>
    </w:p>
    <w:p>
      <w:pPr>
        <w:spacing w:after="0" w:line="2" w:lineRule="exact"/>
        <w:rPr>
          <w:sz w:val="20"/>
          <w:szCs w:val="20"/>
          <w:color w:val="auto"/>
        </w:rPr>
      </w:pPr>
    </w:p>
    <w:p>
      <w:pPr>
        <w:ind w:left="1348" w:hanging="454"/>
        <w:spacing w:after="0"/>
        <w:tabs>
          <w:tab w:leader="none" w:pos="134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AS A SHAREHOLDER.</w:t>
      </w:r>
    </w:p>
    <w:p>
      <w:pPr>
        <w:spacing w:after="0" w:line="2" w:lineRule="exact"/>
        <w:rPr>
          <w:sz w:val="20"/>
          <w:szCs w:val="20"/>
          <w:color w:val="auto"/>
        </w:rPr>
      </w:pPr>
    </w:p>
    <w:p>
      <w:pPr>
        <w:ind w:left="888"/>
        <w:spacing w:after="0"/>
        <w:rPr>
          <w:sz w:val="20"/>
          <w:szCs w:val="20"/>
          <w:color w:val="auto"/>
        </w:rPr>
      </w:pPr>
      <w:r>
        <w:rPr>
          <w:rFonts w:ascii="Courier New" w:cs="Courier New" w:eastAsia="Courier New" w:hAnsi="Courier New"/>
          <w:sz w:val="15"/>
          <w:szCs w:val="15"/>
          <w:color w:val="auto"/>
        </w:rPr>
        <w:t>An optionee or a transferee of an option shall have no</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rights as a shareholder with respect to any shares covered by an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option until the date of the receipt of payment (including any</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amounts required by the Company pursuant to Section 10 of</w:t>
      </w:r>
    </w:p>
    <w:p>
      <w:pPr>
        <w:spacing w:after="0" w:line="2" w:lineRule="exact"/>
        <w:rPr>
          <w:sz w:val="20"/>
          <w:szCs w:val="20"/>
          <w:color w:val="auto"/>
        </w:rPr>
      </w:pPr>
    </w:p>
    <w:p>
      <w:pPr>
        <w:ind w:left="8"/>
        <w:spacing w:after="0"/>
        <w:tabs>
          <w:tab w:leader="none" w:pos="2488" w:val="left"/>
        </w:tabs>
        <w:rPr>
          <w:sz w:val="20"/>
          <w:szCs w:val="20"/>
          <w:color w:val="auto"/>
        </w:rPr>
      </w:pPr>
      <w:r>
        <w:rPr>
          <w:rFonts w:ascii="Courier New" w:cs="Courier New" w:eastAsia="Courier New" w:hAnsi="Courier New"/>
          <w:sz w:val="15"/>
          <w:szCs w:val="15"/>
          <w:color w:val="auto"/>
        </w:rPr>
        <w:t>Article I) by the Company.</w:t>
      </w:r>
      <w:r>
        <w:rPr>
          <w:sz w:val="20"/>
          <w:szCs w:val="20"/>
          <w:color w:val="auto"/>
        </w:rPr>
        <w:tab/>
      </w:r>
      <w:r>
        <w:rPr>
          <w:rFonts w:ascii="Courier New" w:cs="Courier New" w:eastAsia="Courier New" w:hAnsi="Courier New"/>
          <w:sz w:val="14"/>
          <w:szCs w:val="14"/>
          <w:color w:val="auto"/>
        </w:rPr>
        <w:t>No adjustment shall be made as to any</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option for dividends (ordinary or extraordinary, whether in cash,</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securities or other property) or distributions or other rights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for which the record date is prior to such date, except as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provided in Article III.</w:t>
      </w:r>
    </w:p>
    <w:p>
      <w:pPr>
        <w:sectPr>
          <w:pgSz w:w="11900" w:h="16851" w:orient="portrait"/>
          <w:cols w:equalWidth="0" w:num="1">
            <w:col w:w="10227"/>
          </w:cols>
          <w:pgMar w:left="232" w:top="141" w:right="1440" w:bottom="0" w:gutter="0" w:footer="0" w:header="0"/>
        </w:sectPr>
      </w:pPr>
    </w:p>
    <w:bookmarkStart w:id="9" w:name="page10"/>
    <w:bookmarkEnd w:id="9"/>
    <w:p>
      <w:pPr>
        <w:ind w:left="1340" w:hanging="454"/>
        <w:spacing w:after="0"/>
        <w:tabs>
          <w:tab w:leader="none" w:pos="134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FOR INVESTMENT.</w:t>
      </w:r>
    </w:p>
    <w:p>
      <w:pPr>
        <w:spacing w:after="0" w:line="4" w:lineRule="exact"/>
        <w:rPr>
          <w:sz w:val="20"/>
          <w:szCs w:val="20"/>
          <w:color w:val="auto"/>
        </w:rPr>
      </w:pPr>
    </w:p>
    <w:p>
      <w:pPr>
        <w:ind w:right="4419" w:firstLine="894"/>
        <w:spacing w:after="0" w:line="242" w:lineRule="auto"/>
        <w:rPr>
          <w:sz w:val="20"/>
          <w:szCs w:val="20"/>
          <w:color w:val="auto"/>
        </w:rPr>
      </w:pPr>
      <w:r>
        <w:rPr>
          <w:rFonts w:ascii="Courier New" w:cs="Courier New" w:eastAsia="Courier New" w:hAnsi="Courier New"/>
          <w:sz w:val="15"/>
          <w:szCs w:val="15"/>
          <w:color w:val="auto"/>
        </w:rPr>
        <w:t>Unless the shares of Common Stock to be issued upon exercise of an option granted under the Plan have been effectively registered under the Securities Act of 1933 as now in force or hereafter amended, the Company shall be under no obligation to issue any shares of Common Stock covered by any option unless the person who exercises such option, in whole or in part, shall give a written representation and undertaking to the Company which is satisfactory in form and scope to counsel to the Company and upon which, in the opinion of such counsel, the Company may reasonably rely, that he is acquiring the shares of Common Stock issued to him pursuant to such exercise of the option for his own account as an investment and not with a view to, or for sale in connection with, the distribution of any such shares of Common Stock, and that he will make no transfer of the same except in compliance with any rules and regulations in force at the time of such transfer under the Securities Act of 1933, or any other applicable law, and that if shares of Common Stock are issued without such registration, a legend to this effect may be endorsed upon the securities so issued.</w:t>
      </w:r>
    </w:p>
    <w:p>
      <w:pPr>
        <w:spacing w:after="0" w:line="11" w:lineRule="exact"/>
        <w:rPr>
          <w:sz w:val="20"/>
          <w:szCs w:val="20"/>
          <w:color w:val="auto"/>
        </w:rPr>
      </w:pPr>
    </w:p>
    <w:p>
      <w:pPr>
        <w:ind w:left="1340" w:hanging="454"/>
        <w:spacing w:after="0"/>
        <w:tabs>
          <w:tab w:leader="none" w:pos="134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PROVISIONS.</w:t>
      </w:r>
    </w:p>
    <w:p>
      <w:pPr>
        <w:spacing w:after="0" w:line="4" w:lineRule="exact"/>
        <w:rPr>
          <w:sz w:val="20"/>
          <w:szCs w:val="20"/>
          <w:color w:val="auto"/>
        </w:rPr>
      </w:pPr>
    </w:p>
    <w:p>
      <w:pPr>
        <w:ind w:right="4599" w:firstLine="894"/>
        <w:spacing w:after="0" w:line="242" w:lineRule="auto"/>
        <w:rPr>
          <w:sz w:val="20"/>
          <w:szCs w:val="20"/>
          <w:color w:val="auto"/>
        </w:rPr>
      </w:pPr>
      <w:r>
        <w:rPr>
          <w:rFonts w:ascii="Courier New" w:cs="Courier New" w:eastAsia="Courier New" w:hAnsi="Courier New"/>
          <w:sz w:val="15"/>
          <w:szCs w:val="15"/>
          <w:color w:val="auto"/>
        </w:rPr>
        <w:t>The option agreements authorized under the Plan shall contain such other provisions, including, without limitation, restrictions upon the exercise of the option or restrictions required by any applicable securities laws, as the Board shall deem advisable.</w:t>
      </w:r>
    </w:p>
    <w:p>
      <w:pPr>
        <w:spacing w:after="0" w:line="2" w:lineRule="exact"/>
        <w:rPr>
          <w:sz w:val="20"/>
          <w:szCs w:val="20"/>
          <w:color w:val="auto"/>
        </w:rPr>
      </w:pPr>
    </w:p>
    <w:p>
      <w:pPr>
        <w:ind w:left="1340" w:hanging="454"/>
        <w:spacing w:after="0"/>
        <w:tabs>
          <w:tab w:leader="none" w:pos="134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APPLICATION OF FUNDS.</w:t>
      </w:r>
    </w:p>
    <w:p>
      <w:pPr>
        <w:spacing w:after="0" w:line="4" w:lineRule="exact"/>
        <w:rPr>
          <w:sz w:val="20"/>
          <w:szCs w:val="20"/>
          <w:color w:val="auto"/>
        </w:rPr>
      </w:pPr>
    </w:p>
    <w:p>
      <w:pPr>
        <w:ind w:right="4419" w:firstLine="894"/>
        <w:spacing w:after="0" w:line="241" w:lineRule="auto"/>
        <w:rPr>
          <w:sz w:val="20"/>
          <w:szCs w:val="20"/>
          <w:color w:val="auto"/>
        </w:rPr>
      </w:pPr>
      <w:r>
        <w:rPr>
          <w:rFonts w:ascii="Courier New" w:cs="Courier New" w:eastAsia="Courier New" w:hAnsi="Courier New"/>
          <w:sz w:val="15"/>
          <w:szCs w:val="15"/>
          <w:color w:val="auto"/>
        </w:rPr>
        <w:t>The proceeds received by the Company from the sale of Common Stock pursuant to the exercise of options will be used for general corporate purposes.</w:t>
      </w:r>
    </w:p>
    <w:p>
      <w:pPr>
        <w:spacing w:after="0" w:line="2" w:lineRule="exact"/>
        <w:rPr>
          <w:sz w:val="20"/>
          <w:szCs w:val="20"/>
          <w:color w:val="auto"/>
        </w:rPr>
      </w:pPr>
    </w:p>
    <w:p>
      <w:pPr>
        <w:ind w:left="1340" w:hanging="454"/>
        <w:spacing w:after="0"/>
        <w:tabs>
          <w:tab w:leader="none" w:pos="13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OBLIGATION TO EXERCISE OPTION.</w:t>
      </w:r>
    </w:p>
    <w:p>
      <w:pPr>
        <w:spacing w:after="0" w:line="4" w:lineRule="exact"/>
        <w:rPr>
          <w:sz w:val="20"/>
          <w:szCs w:val="20"/>
          <w:color w:val="auto"/>
        </w:rPr>
      </w:pPr>
    </w:p>
    <w:p>
      <w:pPr>
        <w:ind w:right="4679" w:firstLine="894"/>
        <w:spacing w:after="0"/>
        <w:rPr>
          <w:sz w:val="20"/>
          <w:szCs w:val="20"/>
          <w:color w:val="auto"/>
        </w:rPr>
      </w:pPr>
      <w:r>
        <w:rPr>
          <w:rFonts w:ascii="Courier New" w:cs="Courier New" w:eastAsia="Courier New" w:hAnsi="Courier New"/>
          <w:sz w:val="15"/>
          <w:szCs w:val="15"/>
          <w:color w:val="auto"/>
        </w:rPr>
        <w:t>The granting of an option shall impose no obligation upon the optionee to exercise such option.</w:t>
      </w:r>
    </w:p>
    <w:p>
      <w:pPr>
        <w:sectPr>
          <w:pgSz w:w="11900" w:h="16838" w:orient="portrait"/>
          <w:cols w:equalWidth="0" w:num="1">
            <w:col w:w="10219"/>
          </w:cols>
          <w:pgMar w:left="240" w:top="140" w:right="1440" w:bottom="1440" w:gutter="0" w:footer="0" w:header="0"/>
        </w:sectPr>
      </w:pPr>
    </w:p>
    <w:bookmarkStart w:id="10" w:name="page11"/>
    <w:bookmarkEnd w:id="10"/>
    <w:p>
      <w:pPr>
        <w:ind w:left="1880"/>
        <w:spacing w:after="0"/>
        <w:rPr>
          <w:sz w:val="20"/>
          <w:szCs w:val="20"/>
          <w:color w:val="auto"/>
        </w:rPr>
      </w:pPr>
      <w:r>
        <w:rPr>
          <w:rFonts w:ascii="Courier New" w:cs="Courier New" w:eastAsia="Courier New" w:hAnsi="Courier New"/>
          <w:sz w:val="15"/>
          <w:szCs w:val="15"/>
          <w:color w:val="auto"/>
        </w:rPr>
        <w:t>AMENDMENT NO. 2 TO THE</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APPLIED MATERIALS, INC.</w:t>
      </w:r>
    </w:p>
    <w:p>
      <w:pPr>
        <w:spacing w:after="0" w:line="2"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EXECUTIVE DEFERRED COMPENSATION PLAN</w:t>
      </w:r>
    </w:p>
    <w:p>
      <w:pPr>
        <w:spacing w:after="0" w:line="34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APPLIED MATERIALS, INC., having adopted the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40" w:type="dxa"/>
            <w:vAlign w:val="bottom"/>
            <w:gridSpan w:val="3"/>
          </w:tcPr>
          <w:p>
            <w:pPr>
              <w:spacing w:after="0"/>
              <w:rPr>
                <w:sz w:val="20"/>
                <w:szCs w:val="20"/>
                <w:color w:val="auto"/>
              </w:rPr>
            </w:pPr>
            <w:r>
              <w:rPr>
                <w:rFonts w:ascii="Courier New" w:cs="Courier New" w:eastAsia="Courier New" w:hAnsi="Courier New"/>
                <w:sz w:val="15"/>
                <w:szCs w:val="15"/>
                <w:color w:val="auto"/>
              </w:rPr>
              <w:t>Applied Materials, Inc. Executive Deferred</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Compensation Plan</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effective as of July</w:t>
            </w:r>
          </w:p>
        </w:tc>
        <w:tc>
          <w:tcPr>
            <w:tcW w:w="1960" w:type="dxa"/>
            <w:vAlign w:val="bottom"/>
            <w:gridSpan w:val="2"/>
          </w:tcPr>
          <w:p>
            <w:pPr>
              <w:spacing w:after="0"/>
              <w:rPr>
                <w:sz w:val="20"/>
                <w:szCs w:val="20"/>
                <w:color w:val="auto"/>
              </w:rPr>
            </w:pPr>
            <w:r>
              <w:rPr>
                <w:rFonts w:ascii="Courier New" w:cs="Courier New" w:eastAsia="Courier New" w:hAnsi="Courier New"/>
                <w:sz w:val="15"/>
                <w:szCs w:val="15"/>
                <w:color w:val="auto"/>
              </w:rPr>
              <w:t>1, 1993 (the "Plan"),</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hereby amends</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Section 2.1.2 of the</w:t>
            </w:r>
          </w:p>
        </w:tc>
        <w:tc>
          <w:tcPr>
            <w:tcW w:w="1960" w:type="dxa"/>
            <w:vAlign w:val="bottom"/>
            <w:gridSpan w:val="2"/>
          </w:tcPr>
          <w:p>
            <w:pPr>
              <w:spacing w:after="0"/>
              <w:rPr>
                <w:sz w:val="20"/>
                <w:szCs w:val="20"/>
                <w:color w:val="auto"/>
              </w:rPr>
            </w:pPr>
            <w:r>
              <w:rPr>
                <w:rFonts w:ascii="Courier New" w:cs="Courier New" w:eastAsia="Courier New" w:hAnsi="Courier New"/>
                <w:sz w:val="15"/>
                <w:szCs w:val="15"/>
                <w:color w:val="auto"/>
              </w:rPr>
              <w:t>Plan, effective as of</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January 1, 1994, to</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read in its entirety</w:t>
            </w:r>
          </w:p>
        </w:tc>
        <w:tc>
          <w:tcPr>
            <w:tcW w:w="1100" w:type="dxa"/>
            <w:vAlign w:val="bottom"/>
          </w:tcPr>
          <w:p>
            <w:pPr>
              <w:spacing w:after="0"/>
              <w:rPr>
                <w:sz w:val="20"/>
                <w:szCs w:val="20"/>
                <w:color w:val="auto"/>
              </w:rPr>
            </w:pPr>
            <w:r>
              <w:rPr>
                <w:rFonts w:ascii="Courier New" w:cs="Courier New" w:eastAsia="Courier New" w:hAnsi="Courier New"/>
                <w:sz w:val="15"/>
                <w:szCs w:val="15"/>
                <w:color w:val="auto"/>
              </w:rPr>
              <w:t>as follows:</w:t>
            </w:r>
          </w:p>
        </w:tc>
        <w:tc>
          <w:tcPr>
            <w:tcW w:w="86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72"/>
        </w:trPr>
        <w:tc>
          <w:tcPr>
            <w:tcW w:w="18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2.1.2</w:t>
            </w:r>
          </w:p>
        </w:tc>
        <w:tc>
          <w:tcPr>
            <w:tcW w:w="19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Initial Elections by</w:t>
            </w:r>
          </w:p>
        </w:tc>
        <w:tc>
          <w:tcPr>
            <w:tcW w:w="1960" w:type="dxa"/>
            <w:vAlign w:val="bottom"/>
          </w:tcPr>
          <w:p>
            <w:pPr>
              <w:spacing w:after="0"/>
              <w:rPr>
                <w:sz w:val="20"/>
                <w:szCs w:val="20"/>
                <w:color w:val="auto"/>
              </w:rPr>
            </w:pPr>
            <w:r>
              <w:rPr>
                <w:rFonts w:ascii="Courier New" w:cs="Courier New" w:eastAsia="Courier New" w:hAnsi="Courier New"/>
                <w:sz w:val="15"/>
                <w:szCs w:val="15"/>
                <w:color w:val="auto"/>
                <w:w w:val="97"/>
              </w:rPr>
              <w:t>Other Employees.  Each</w:t>
            </w:r>
          </w:p>
        </w:tc>
      </w:tr>
      <w:tr>
        <w:trPr>
          <w:trHeight w:val="172"/>
        </w:trPr>
        <w:tc>
          <w:tcPr>
            <w:tcW w:w="580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individual who becomes an Eligible Employee after July 1,</w:t>
            </w:r>
          </w:p>
        </w:tc>
      </w:tr>
      <w:tr>
        <w:trPr>
          <w:trHeight w:val="172"/>
        </w:trPr>
        <w:tc>
          <w:tcPr>
            <w:tcW w:w="580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1993 (whether by hire or promotion) may elect to become a</w:t>
            </w:r>
          </w:p>
        </w:tc>
      </w:tr>
      <w:tr>
        <w:trPr>
          <w:trHeight w:val="172"/>
        </w:trPr>
        <w:tc>
          <w:tcPr>
            <w:tcW w:w="580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Participant in the Plan by electing, within thirty days of</w:t>
            </w:r>
          </w:p>
        </w:tc>
      </w:tr>
      <w:tr>
        <w:trPr>
          <w:trHeight w:val="172"/>
        </w:trPr>
        <w:tc>
          <w:tcPr>
            <w:tcW w:w="1880" w:type="dxa"/>
            <w:vAlign w:val="bottom"/>
          </w:tcPr>
          <w:p>
            <w:pPr>
              <w:ind w:left="440"/>
              <w:spacing w:after="0"/>
              <w:rPr>
                <w:sz w:val="20"/>
                <w:szCs w:val="20"/>
                <w:color w:val="auto"/>
              </w:rPr>
            </w:pPr>
            <w:r>
              <w:rPr>
                <w:rFonts w:ascii="Courier New" w:cs="Courier New" w:eastAsia="Courier New" w:hAnsi="Courier New"/>
                <w:sz w:val="15"/>
                <w:szCs w:val="15"/>
                <w:color w:val="auto"/>
              </w:rPr>
              <w:t>the date of his</w:t>
            </w:r>
          </w:p>
        </w:tc>
        <w:tc>
          <w:tcPr>
            <w:tcW w:w="3920" w:type="dxa"/>
            <w:vAlign w:val="bottom"/>
            <w:gridSpan w:val="3"/>
          </w:tcPr>
          <w:p>
            <w:pPr>
              <w:spacing w:after="0"/>
              <w:rPr>
                <w:sz w:val="20"/>
                <w:szCs w:val="20"/>
                <w:color w:val="auto"/>
              </w:rPr>
            </w:pPr>
            <w:r>
              <w:rPr>
                <w:rFonts w:ascii="Courier New" w:cs="Courier New" w:eastAsia="Courier New" w:hAnsi="Courier New"/>
                <w:sz w:val="15"/>
                <w:szCs w:val="15"/>
                <w:color w:val="auto"/>
              </w:rPr>
              <w:t>or her hire or promotion (as the case may</w:t>
            </w:r>
          </w:p>
        </w:tc>
      </w:tr>
      <w:tr>
        <w:trPr>
          <w:trHeight w:val="172"/>
        </w:trPr>
        <w:tc>
          <w:tcPr>
            <w:tcW w:w="580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be), to make Compensation Deferrals under the Plan.  An</w:t>
            </w:r>
          </w:p>
        </w:tc>
      </w:tr>
      <w:tr>
        <w:trPr>
          <w:trHeight w:val="172"/>
        </w:trPr>
        <w:tc>
          <w:tcPr>
            <w:tcW w:w="580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election under this Section 2.1.2 to make Compensation</w:t>
            </w:r>
          </w:p>
        </w:tc>
      </w:tr>
      <w:tr>
        <w:trPr>
          <w:trHeight w:val="172"/>
        </w:trPr>
        <w:tc>
          <w:tcPr>
            <w:tcW w:w="1880" w:type="dxa"/>
            <w:vAlign w:val="bottom"/>
          </w:tcPr>
          <w:p>
            <w:pPr>
              <w:ind w:left="440"/>
              <w:spacing w:after="0"/>
              <w:rPr>
                <w:sz w:val="20"/>
                <w:szCs w:val="20"/>
                <w:color w:val="auto"/>
              </w:rPr>
            </w:pPr>
            <w:r>
              <w:rPr>
                <w:rFonts w:ascii="Courier New" w:cs="Courier New" w:eastAsia="Courier New" w:hAnsi="Courier New"/>
                <w:sz w:val="15"/>
                <w:szCs w:val="15"/>
                <w:color w:val="auto"/>
              </w:rPr>
              <w:t>Deferrals shall</w:t>
            </w:r>
          </w:p>
        </w:tc>
        <w:tc>
          <w:tcPr>
            <w:tcW w:w="1960" w:type="dxa"/>
            <w:vAlign w:val="bottom"/>
            <w:gridSpan w:val="2"/>
          </w:tcPr>
          <w:p>
            <w:pPr>
              <w:spacing w:after="0"/>
              <w:rPr>
                <w:sz w:val="20"/>
                <w:szCs w:val="20"/>
                <w:color w:val="auto"/>
              </w:rPr>
            </w:pPr>
            <w:r>
              <w:rPr>
                <w:rFonts w:ascii="Courier New" w:cs="Courier New" w:eastAsia="Courier New" w:hAnsi="Courier New"/>
                <w:sz w:val="15"/>
                <w:szCs w:val="15"/>
                <w:color w:val="auto"/>
              </w:rPr>
              <w:t>be effective only for</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the Plan Year with</w:t>
            </w:r>
          </w:p>
        </w:tc>
      </w:tr>
      <w:tr>
        <w:trPr>
          <w:trHeight w:val="172"/>
        </w:trPr>
        <w:tc>
          <w:tcPr>
            <w:tcW w:w="384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8"/>
              </w:rPr>
              <w:t>respect to which the election is made.</w:t>
            </w:r>
          </w:p>
        </w:tc>
        <w:tc>
          <w:tcPr>
            <w:tcW w:w="1960" w:type="dxa"/>
            <w:vAlign w:val="bottom"/>
          </w:tcPr>
          <w:p>
            <w:pPr>
              <w:spacing w:after="0"/>
              <w:rPr>
                <w:sz w:val="14"/>
                <w:szCs w:val="14"/>
                <w:color w:val="auto"/>
              </w:rPr>
            </w:pPr>
          </w:p>
        </w:tc>
      </w:tr>
      <w:tr>
        <w:trPr>
          <w:trHeight w:val="344"/>
        </w:trPr>
        <w:tc>
          <w:tcPr>
            <w:tcW w:w="18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 WITNESS</w:t>
            </w:r>
          </w:p>
        </w:tc>
        <w:tc>
          <w:tcPr>
            <w:tcW w:w="3920" w:type="dxa"/>
            <w:vAlign w:val="bottom"/>
            <w:gridSpan w:val="3"/>
          </w:tcPr>
          <w:p>
            <w:pPr>
              <w:spacing w:after="0"/>
              <w:rPr>
                <w:sz w:val="20"/>
                <w:szCs w:val="20"/>
                <w:color w:val="auto"/>
              </w:rPr>
            </w:pPr>
            <w:r>
              <w:rPr>
                <w:rFonts w:ascii="Courier New" w:cs="Courier New" w:eastAsia="Courier New" w:hAnsi="Courier New"/>
                <w:sz w:val="15"/>
                <w:szCs w:val="15"/>
                <w:color w:val="auto"/>
              </w:rPr>
              <w:t>WHEREOF, Applied Materials, Inc., by its</w:t>
            </w:r>
          </w:p>
        </w:tc>
      </w:tr>
      <w:tr>
        <w:trPr>
          <w:trHeight w:val="172"/>
        </w:trPr>
        <w:tc>
          <w:tcPr>
            <w:tcW w:w="3840" w:type="dxa"/>
            <w:vAlign w:val="bottom"/>
            <w:gridSpan w:val="3"/>
          </w:tcPr>
          <w:p>
            <w:pPr>
              <w:spacing w:after="0"/>
              <w:rPr>
                <w:sz w:val="20"/>
                <w:szCs w:val="20"/>
                <w:color w:val="auto"/>
              </w:rPr>
            </w:pPr>
            <w:r>
              <w:rPr>
                <w:rFonts w:ascii="Courier New" w:cs="Courier New" w:eastAsia="Courier New" w:hAnsi="Courier New"/>
                <w:sz w:val="15"/>
                <w:szCs w:val="15"/>
                <w:color w:val="auto"/>
              </w:rPr>
              <w:t>duly authorized officer, has executed this</w:t>
            </w:r>
          </w:p>
        </w:tc>
        <w:tc>
          <w:tcPr>
            <w:tcW w:w="1960" w:type="dxa"/>
            <w:vAlign w:val="bottom"/>
          </w:tcPr>
          <w:p>
            <w:pPr>
              <w:spacing w:after="0"/>
              <w:rPr>
                <w:sz w:val="20"/>
                <w:szCs w:val="20"/>
                <w:color w:val="auto"/>
              </w:rPr>
            </w:pPr>
            <w:r>
              <w:rPr>
                <w:rFonts w:ascii="Courier New" w:cs="Courier New" w:eastAsia="Courier New" w:hAnsi="Courier New"/>
                <w:sz w:val="15"/>
                <w:szCs w:val="15"/>
                <w:color w:val="auto"/>
                <w:w w:val="97"/>
              </w:rPr>
              <w:t>Amendment No. 2 on the</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date indicated below.</w:t>
            </w:r>
          </w:p>
        </w:tc>
        <w:tc>
          <w:tcPr>
            <w:tcW w:w="1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72"/>
        </w:trPr>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APPLIED</w:t>
            </w:r>
          </w:p>
        </w:tc>
        <w:tc>
          <w:tcPr>
            <w:tcW w:w="1960" w:type="dxa"/>
            <w:vAlign w:val="bottom"/>
          </w:tcPr>
          <w:p>
            <w:pPr>
              <w:spacing w:after="0"/>
              <w:rPr>
                <w:sz w:val="20"/>
                <w:szCs w:val="20"/>
                <w:color w:val="auto"/>
              </w:rPr>
            </w:pPr>
            <w:r>
              <w:rPr>
                <w:rFonts w:ascii="Courier New" w:cs="Courier New" w:eastAsia="Courier New" w:hAnsi="Courier New"/>
                <w:sz w:val="15"/>
                <w:szCs w:val="15"/>
                <w:color w:val="auto"/>
              </w:rPr>
              <w:t>MATERIALS, INC.</w:t>
            </w:r>
          </w:p>
        </w:tc>
      </w:tr>
      <w:tr>
        <w:trPr>
          <w:trHeight w:val="516"/>
        </w:trPr>
        <w:tc>
          <w:tcPr>
            <w:tcW w:w="2980" w:type="dxa"/>
            <w:vAlign w:val="bottom"/>
            <w:gridSpan w:val="2"/>
          </w:tcPr>
          <w:p>
            <w:pPr>
              <w:spacing w:after="0"/>
              <w:rPr>
                <w:sz w:val="20"/>
                <w:szCs w:val="20"/>
                <w:color w:val="auto"/>
              </w:rPr>
            </w:pPr>
            <w:r>
              <w:rPr>
                <w:rFonts w:ascii="Courier New" w:cs="Courier New" w:eastAsia="Courier New" w:hAnsi="Courier New"/>
                <w:sz w:val="15"/>
                <w:szCs w:val="15"/>
                <w:color w:val="auto"/>
              </w:rPr>
              <w:t>Dated:  ____________________</w:t>
            </w:r>
          </w:p>
        </w:tc>
        <w:tc>
          <w:tcPr>
            <w:tcW w:w="282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8"/>
              </w:rPr>
              <w:t>By ___________________________</w:t>
            </w:r>
          </w:p>
        </w:tc>
      </w:tr>
      <w:tr>
        <w:trPr>
          <w:trHeight w:val="172"/>
        </w:trPr>
        <w:tc>
          <w:tcPr>
            <w:tcW w:w="1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820" w:type="dxa"/>
            <w:vAlign w:val="bottom"/>
            <w:gridSpan w:val="2"/>
          </w:tcPr>
          <w:p>
            <w:pPr>
              <w:ind w:left="420"/>
              <w:spacing w:after="0"/>
              <w:rPr>
                <w:sz w:val="20"/>
                <w:szCs w:val="20"/>
                <w:color w:val="auto"/>
              </w:rPr>
            </w:pPr>
            <w:r>
              <w:rPr>
                <w:rFonts w:ascii="Courier New" w:cs="Courier New" w:eastAsia="Courier New" w:hAnsi="Courier New"/>
                <w:sz w:val="15"/>
                <w:szCs w:val="15"/>
                <w:color w:val="auto"/>
              </w:rPr>
              <w:t>Title:</w:t>
            </w:r>
          </w:p>
        </w:tc>
      </w:tr>
    </w:tbl>
    <w:p>
      <w:pPr>
        <w:spacing w:after="0" w:line="1" w:lineRule="exact"/>
        <w:rPr>
          <w:sz w:val="20"/>
          <w:szCs w:val="20"/>
          <w:color w:val="auto"/>
        </w:rPr>
      </w:pPr>
    </w:p>
    <w:sectPr>
      <w:pgSz w:w="11900" w:h="16838" w:orient="portrait"/>
      <w:cols w:equalWidth="0" w:num="1">
        <w:col w:w="10219"/>
      </w:cols>
      <w:pgMar w:left="2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2"/>
    </w:lvl>
  </w:abstractNum>
  <w:abstractNum w:abstractNumId="5">
    <w:nsid w:val="628C895D"/>
    <w:multiLevelType w:val="hybridMultilevel"/>
    <w:lvl w:ilvl="0">
      <w:lvlJc w:val="left"/>
      <w:lvlText w:val="%1)"/>
      <w:numFmt w:val="decimal"/>
      <w:start w:val="3"/>
    </w:lvl>
  </w:abstractNum>
  <w:abstractNum w:abstractNumId="6">
    <w:nsid w:val="333AB105"/>
    <w:multiLevelType w:val="hybridMultilevel"/>
    <w:lvl w:ilvl="0">
      <w:lvlJc w:val="left"/>
      <w:lvlText w:val="%1)"/>
      <w:numFmt w:val="decimal"/>
      <w:start w:val="4"/>
    </w:lvl>
  </w:abstractNum>
  <w:abstractNum w:abstractNumId="7">
    <w:nsid w:val="721DA317"/>
    <w:multiLevelType w:val="hybridMultilevel"/>
    <w:lvl w:ilvl="0">
      <w:lvlJc w:val="left"/>
      <w:lvlText w:val="%1)"/>
      <w:numFmt w:val="lowerLetter"/>
      <w:start w:val="1"/>
    </w:lvl>
  </w:abstractNum>
  <w:abstractNum w:abstractNumId="8">
    <w:nsid w:val="2443A858"/>
    <w:multiLevelType w:val="hybridMultilevel"/>
    <w:lvl w:ilvl="0">
      <w:lvlJc w:val="left"/>
      <w:lvlText w:val="%1"/>
      <w:numFmt w:val="lowerLetter"/>
      <w:start w:val="1"/>
    </w:lvl>
    <w:lvl w:ilvl="1">
      <w:lvlJc w:val="left"/>
      <w:lvlText w:val="%2."/>
      <w:numFmt w:val="decimal"/>
      <w:start w:val="10"/>
    </w:lvl>
  </w:abstractNum>
  <w:abstractNum w:abstractNumId="9">
    <w:nsid w:val="2D1D5AE9"/>
    <w:multiLevelType w:val="hybridMultilevel"/>
    <w:lvl w:ilvl="0">
      <w:lvlJc w:val="left"/>
      <w:lvlText w:val="%1)"/>
      <w:numFmt w:val="lowerLetter"/>
      <w:start w:val="2"/>
    </w:lvl>
    <w:lvl w:ilvl="1">
      <w:lvlJc w:val="left"/>
      <w:lvlText w:val="%2"/>
      <w:numFmt w:val="decimal"/>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decimal"/>
      <w:start w:val="2"/>
    </w:lvl>
  </w:abstractNum>
  <w:abstractNum w:abstractNumId="12">
    <w:nsid w:val="8EDBDAB"/>
    <w:multiLevelType w:val="hybridMultilevel"/>
    <w:lvl w:ilvl="0">
      <w:lvlJc w:val="left"/>
      <w:lvlText w:val="%1."/>
      <w:numFmt w:val="decimal"/>
      <w:start w:val="3"/>
    </w:lvl>
  </w:abstractNum>
  <w:abstractNum w:abstractNumId="13">
    <w:nsid w:val="79838CB2"/>
    <w:multiLevelType w:val="hybridMultilevel"/>
    <w:lvl w:ilvl="0">
      <w:lvlJc w:val="left"/>
      <w:lvlText w:val="%1."/>
      <w:numFmt w:val="decimal"/>
      <w:start w:val="4"/>
    </w:lvl>
  </w:abstractNum>
  <w:abstractNum w:abstractNumId="14">
    <w:nsid w:val="4353D0CD"/>
    <w:multiLevelType w:val="hybridMultilevel"/>
    <w:lvl w:ilvl="0">
      <w:lvlJc w:val="left"/>
      <w:lvlText w:val="%1."/>
      <w:numFmt w:val="decimal"/>
      <w:start w:val="5"/>
    </w:lvl>
  </w:abstractNum>
  <w:abstractNum w:abstractNumId="15">
    <w:nsid w:val="B03E0C6"/>
    <w:multiLevelType w:val="hybridMultilevel"/>
    <w:lvl w:ilvl="0">
      <w:lvlJc w:val="left"/>
      <w:lvlText w:val="%1."/>
      <w:numFmt w:val="decimal"/>
      <w:start w:val="6"/>
    </w:lvl>
  </w:abstractNum>
  <w:abstractNum w:abstractNumId="16">
    <w:nsid w:val="189A769B"/>
    <w:multiLevelType w:val="hybridMultilevel"/>
    <w:lvl w:ilvl="0">
      <w:lvlJc w:val="left"/>
      <w:lvlText w:val="%1."/>
      <w:numFmt w:val="decimal"/>
      <w:start w:val="7"/>
    </w:lvl>
  </w:abstractNum>
  <w:abstractNum w:abstractNumId="17">
    <w:nsid w:val="54E49EB4"/>
    <w:multiLevelType w:val="hybridMultilevel"/>
    <w:lvl w:ilvl="0">
      <w:lvlJc w:val="left"/>
      <w:lvlText w:val="%1."/>
      <w:numFmt w:val="decimal"/>
      <w:start w:val="8"/>
    </w:lvl>
  </w:abstractNum>
  <w:abstractNum w:abstractNumId="18">
    <w:nsid w:val="71F32454"/>
    <w:multiLevelType w:val="hybridMultilevel"/>
    <w:lvl w:ilvl="0">
      <w:lvlJc w:val="left"/>
      <w:lvlText w:val="%1."/>
      <w:numFmt w:val="decimal"/>
      <w:start w:val="9"/>
    </w:lvl>
  </w:abstractNum>
  <w:abstractNum w:abstractNumId="19">
    <w:nsid w:val="2CA88611"/>
    <w:multiLevelType w:val="hybridMultilevel"/>
    <w:lvl w:ilvl="0">
      <w:lvlJc w:val="left"/>
      <w:lvlText w:val="%1."/>
      <w:numFmt w:val="decimal"/>
      <w:start w:val="10"/>
    </w:lvl>
  </w:abstractNum>
  <w:abstractNum w:abstractNumId="20">
    <w:nsid w:val="836C40E"/>
    <w:multiLevelType w:val="hybridMultilevel"/>
    <w:lvl w:ilvl="0">
      <w:lvlJc w:val="left"/>
      <w:lvlText w:val="%1."/>
      <w:numFmt w:val="decimal"/>
      <w:start w:val="11"/>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1."/>
      <w:numFmt w:val="decimal"/>
      <w:start w:val="2"/>
    </w:lvl>
  </w:abstractNum>
  <w:abstractNum w:abstractNumId="23">
    <w:nsid w:val="8138641"/>
    <w:multiLevelType w:val="hybridMultilevel"/>
    <w:lvl w:ilvl="0">
      <w:lvlJc w:val="left"/>
      <w:lvlText w:val="%1."/>
      <w:numFmt w:val="decimal"/>
      <w:start w:val="3"/>
    </w:lvl>
  </w:abstractNum>
  <w:abstractNum w:abstractNumId="24">
    <w:nsid w:val="1E7FF521"/>
    <w:multiLevelType w:val="hybridMultilevel"/>
    <w:lvl w:ilvl="0">
      <w:lvlJc w:val="left"/>
      <w:lvlText w:val="%1."/>
      <w:numFmt w:val="upperLetter"/>
      <w:start w:val="1"/>
    </w:lvl>
  </w:abstractNum>
  <w:abstractNum w:abstractNumId="25">
    <w:nsid w:val="7C3DBD3D"/>
    <w:multiLevelType w:val="hybridMultilevel"/>
    <w:lvl w:ilvl="0">
      <w:lvlJc w:val="left"/>
      <w:lvlText w:val="%1."/>
      <w:numFmt w:val="upperLetter"/>
      <w:start w:val="2"/>
    </w:lvl>
  </w:abstractNum>
  <w:abstractNum w:abstractNumId="26">
    <w:nsid w:val="737B8DDC"/>
    <w:multiLevelType w:val="hybridMultilevel"/>
    <w:lvl w:ilvl="0">
      <w:lvlJc w:val="left"/>
      <w:lvlText w:val="%1."/>
      <w:numFmt w:val="upperLetter"/>
      <w:start w:val="3"/>
    </w:lvl>
  </w:abstractNum>
  <w:abstractNum w:abstractNumId="27">
    <w:nsid w:val="6CEAF087"/>
    <w:multiLevelType w:val="hybridMultilevel"/>
    <w:lvl w:ilvl="0">
      <w:lvlJc w:val="left"/>
      <w:lvlText w:val="%1."/>
      <w:numFmt w:val="upperLetter"/>
      <w:start w:val="4"/>
    </w:lvl>
  </w:abstractNum>
  <w:abstractNum w:abstractNumId="28">
    <w:nsid w:val="22221A70"/>
    <w:multiLevelType w:val="hybridMultilevel"/>
    <w:lvl w:ilvl="0">
      <w:lvlJc w:val="left"/>
      <w:lvlText w:val="%1."/>
      <w:numFmt w:val="upperLetter"/>
      <w:start w:val="5"/>
    </w:lvl>
  </w:abstractNum>
  <w:abstractNum w:abstractNumId="29">
    <w:nsid w:val="4516DDE9"/>
    <w:multiLevelType w:val="hybridMultilevel"/>
    <w:lvl w:ilvl="0">
      <w:lvlJc w:val="left"/>
      <w:lvlText w:val="%1."/>
      <w:numFmt w:val="upperLetter"/>
      <w:start w:val="6"/>
    </w:lvl>
  </w:abstractNum>
  <w:abstractNum w:abstractNumId="30">
    <w:nsid w:val="3006C83E"/>
    <w:multiLevelType w:val="hybridMultilevel"/>
    <w:lvl w:ilvl="0">
      <w:lvlJc w:val="left"/>
      <w:lvlText w:val="(%1)"/>
      <w:numFmt w:val="lowerRoman"/>
      <w:start w:val="2"/>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decimal"/>
      <w:start w:val="2"/>
    </w:lvl>
  </w:abstractNum>
  <w:abstractNum w:abstractNumId="33">
    <w:nsid w:val="5577F8E1"/>
    <w:multiLevelType w:val="hybridMultilevel"/>
    <w:lvl w:ilvl="0">
      <w:lvlJc w:val="left"/>
      <w:lvlText w:val="%1."/>
      <w:numFmt w:val="decimal"/>
      <w:start w:val="3"/>
    </w:lvl>
  </w:abstractNum>
  <w:abstractNum w:abstractNumId="34">
    <w:nsid w:val="440BADFC"/>
    <w:multiLevelType w:val="hybridMultilevel"/>
    <w:lvl w:ilvl="0">
      <w:lvlJc w:val="left"/>
      <w:lvlText w:val="%1."/>
      <w:numFmt w:val="decimal"/>
      <w:start w:val="4"/>
    </w:lvl>
  </w:abstractNum>
  <w:abstractNum w:abstractNumId="35">
    <w:nsid w:val="5072367"/>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2019-12-19T18:39:23Z</dcterms:created>
  <dcterms:modified xsi:type="dcterms:W3CDTF">2019-12-19T18:39:23Z</dcterms:modified>
</cp:coreProperties>
</file>