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7494.xml.htm"/>
      <w:bookmarkStart w:id="1" w:name="kswkform4_17912374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Deane Timothy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APPLIED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3050 BOWERS AVE, PO BOX 58039, M/S 5030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APPLIED MATERIALS INC /DE</w:t>
              </w:r>
            </w:hyperlink>
            <w:r>
              <w:rPr/>
              <w:t xml:space="preserve"> [ </w:t>
            </w:r>
            <w:r>
              <w:rPr>
                <w:rFonts w:ascii="Times;serif" w:hAnsi="Times;serif"/>
                <w:color w:val="0000FF"/>
                <w:sz w:val="24"/>
                <w:shd w:fill="FFFFFF" w:val="clear"/>
              </w:rPr>
              <w:t>AMAT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Applied Global Services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2,644</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529.3</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130,462</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number of shares that were automatically withheld upon vesting of restricted stock units to cover tax withholding obligations in a transaction exempt under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Increased number of shares reflects periodic payroll acquisitions under Employees' Stock Purchase Plan that are exempt under Rule 16a-3 and Rule 16b-3. Number of shares includes 59,726 performance share units and restricted stock units previously reported that in the future will be converted on a one-for-one basis into shares of Applied Materials, Inc. common stock upon vesting, which vesting is scheduled to occur as follows: (a) 23,535 restricted stock units are scheduled to vest in installments in December of 2026 through 2028, and (b) 36,191 performance share units are scheduled to vest in installments in December of 2026 through 2028, which number of shares is the target amount, and the actual number of shares that may vest ranges from 0% to 200% of the target amount, depending on achievement of specified performance goals (all vesting is subject to continued employment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Christian,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5425" TargetMode="External"/><Relationship Id="rId5" Type="http://schemas.openxmlformats.org/officeDocument/2006/relationships/hyperlink" Target="http://www.sec.gov/cgi-bin/browse-edgar?action=getcompany&amp;CIK=00000069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4074</Characters>
  <CharactersWithSpaces>4752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