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1177290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1203325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SD</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Specialized Disclosure Report</w:t>
      </w:r>
    </w:p>
    <w:p>
      <w:pPr>
        <w:spacing w:after="0" w:line="3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Applied Materials, Inc.</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Exact name of registrant as specified in its charter</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22"/>
          <w:szCs w:val="22"/>
          <w:b w:val="1"/>
          <w:bCs w:val="1"/>
          <w:color w:val="auto"/>
        </w:rPr>
        <w:t>Delaware</w:t>
      </w:r>
    </w:p>
    <w:p>
      <w:pPr>
        <w:ind w:left="680"/>
        <w:spacing w:after="0" w:line="2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State or other jurisdiction</w:t>
      </w:r>
    </w:p>
    <w:p>
      <w:pPr>
        <w:ind w:left="400"/>
        <w:spacing w:after="0"/>
        <w:rPr>
          <w:sz w:val="20"/>
          <w:szCs w:val="20"/>
          <w:color w:val="auto"/>
        </w:rPr>
      </w:pPr>
      <w:r>
        <w:rPr>
          <w:rFonts w:ascii="Times New Roman" w:cs="Times New Roman" w:eastAsia="Times New Roman" w:hAnsi="Times New Roman"/>
          <w:sz w:val="21"/>
          <w:szCs w:val="21"/>
          <w:i w:val="1"/>
          <w:iCs w:val="1"/>
          <w:color w:val="auto"/>
        </w:rPr>
        <w:t>of incorporation or organization</w:t>
      </w:r>
      <w:r>
        <w:rPr>
          <w:rFonts w:ascii="Times New Roman" w:cs="Times New Roman" w:eastAsia="Times New Roman" w:hAnsi="Times New Roman"/>
          <w:sz w:val="21"/>
          <w:szCs w:val="21"/>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22"/>
          <w:szCs w:val="22"/>
          <w:b w:val="1"/>
          <w:bCs w:val="1"/>
          <w:color w:val="auto"/>
        </w:rPr>
        <w:t>000-06920</w:t>
      </w:r>
    </w:p>
    <w:p>
      <w:pPr>
        <w:spacing w:after="0" w:line="32"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Commission File Number</w:t>
      </w:r>
      <w:r>
        <w:rPr>
          <w:rFonts w:ascii="Times New Roman" w:cs="Times New Roman" w:eastAsia="Times New Roman" w:hAnsi="Times New Roman"/>
          <w:sz w:val="21"/>
          <w:szCs w:val="21"/>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22"/>
          <w:szCs w:val="22"/>
          <w:b w:val="1"/>
          <w:bCs w:val="1"/>
          <w:color w:val="auto"/>
        </w:rPr>
        <w:t>94-1655526</w:t>
      </w:r>
    </w:p>
    <w:p>
      <w:pPr>
        <w:jc w:val="center"/>
        <w:ind w:right="840"/>
        <w:spacing w:after="0" w:line="2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IRS Employer</w:t>
      </w:r>
    </w:p>
    <w:p>
      <w:pPr>
        <w:jc w:val="center"/>
        <w:ind w:right="840"/>
        <w:spacing w:after="0"/>
        <w:rPr>
          <w:sz w:val="20"/>
          <w:szCs w:val="20"/>
          <w:color w:val="auto"/>
        </w:rPr>
      </w:pPr>
      <w:r>
        <w:rPr>
          <w:rFonts w:ascii="Times New Roman" w:cs="Times New Roman" w:eastAsia="Times New Roman" w:hAnsi="Times New Roman"/>
          <w:sz w:val="21"/>
          <w:szCs w:val="21"/>
          <w:i w:val="1"/>
          <w:iCs w:val="1"/>
          <w:color w:val="auto"/>
        </w:rPr>
        <w:t>Identification No.</w:t>
      </w:r>
      <w:r>
        <w:rPr>
          <w:rFonts w:ascii="Times New Roman" w:cs="Times New Roman" w:eastAsia="Times New Roman" w:hAnsi="Times New Roman"/>
          <w:sz w:val="21"/>
          <w:szCs w:val="21"/>
          <w:color w:val="auto"/>
        </w:rPr>
        <w:t>)</w:t>
      </w:r>
    </w:p>
    <w:p>
      <w:pPr>
        <w:spacing w:after="0" w:line="200" w:lineRule="exact"/>
        <w:rPr>
          <w:sz w:val="24"/>
          <w:szCs w:val="24"/>
          <w:color w:val="auto"/>
        </w:rPr>
      </w:pPr>
    </w:p>
    <w:p>
      <w:pPr>
        <w:sectPr>
          <w:pgSz w:w="11900" w:h="16838" w:orient="portrait"/>
          <w:cols w:equalWidth="0" w:num="3">
            <w:col w:w="3920" w:space="720"/>
            <w:col w:w="3440" w:space="720"/>
            <w:col w:w="2440"/>
          </w:cols>
          <w:pgMar w:left="320" w:top="1440" w:right="339" w:bottom="1440" w:gutter="0" w:footer="0" w:header="0"/>
          <w:type w:val="continuous"/>
        </w:sectPr>
      </w:pPr>
    </w:p>
    <w:p>
      <w:pPr>
        <w:spacing w:after="0" w:line="381"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22"/>
          <w:szCs w:val="22"/>
          <w:b w:val="1"/>
          <w:bCs w:val="1"/>
          <w:color w:val="auto"/>
        </w:rPr>
        <w:t>3050 Bowers Avenue</w:t>
      </w:r>
    </w:p>
    <w:p>
      <w:pPr>
        <w:spacing w:after="0" w:line="32"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22"/>
          <w:szCs w:val="22"/>
          <w:b w:val="1"/>
          <w:bCs w:val="1"/>
          <w:color w:val="auto"/>
        </w:rPr>
        <w:t>P.O. Box 58039 Santa Clara, CA</w:t>
      </w:r>
    </w:p>
    <w:p>
      <w:pPr>
        <w:spacing w:after="0" w:line="4"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Address of principal executive offices</w:t>
      </w:r>
      <w:r>
        <w:rPr>
          <w:rFonts w:ascii="Times New Roman" w:cs="Times New Roman" w:eastAsia="Times New Roman" w:hAnsi="Times New Roman"/>
          <w:sz w:val="21"/>
          <w:szCs w:val="21"/>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95052-8039</w:t>
      </w:r>
    </w:p>
    <w:p>
      <w:pPr>
        <w:spacing w:after="0" w:line="4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Zip Code</w:t>
      </w:r>
      <w:r>
        <w:rPr>
          <w:rFonts w:ascii="Times New Roman" w:cs="Times New Roman" w:eastAsia="Times New Roman" w:hAnsi="Times New Roman"/>
          <w:sz w:val="22"/>
          <w:szCs w:val="22"/>
          <w:color w:val="auto"/>
        </w:rPr>
        <w:t>)</w:t>
      </w:r>
    </w:p>
    <w:p>
      <w:pPr>
        <w:spacing w:after="0" w:line="200" w:lineRule="exact"/>
        <w:rPr>
          <w:sz w:val="24"/>
          <w:szCs w:val="24"/>
          <w:color w:val="auto"/>
        </w:rPr>
      </w:pPr>
    </w:p>
    <w:p>
      <w:pPr>
        <w:sectPr>
          <w:pgSz w:w="11900" w:h="16838" w:orient="portrait"/>
          <w:cols w:equalWidth="0" w:num="2">
            <w:col w:w="7500" w:space="720"/>
            <w:col w:w="3020"/>
          </w:cols>
          <w:pgMar w:left="320" w:top="1440" w:right="339" w:bottom="1440" w:gutter="0" w:footer="0" w:header="0"/>
          <w:type w:val="continuous"/>
        </w:sectPr>
      </w:pP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Teri A. Little, Esq.</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Senior Vice President, Chief Legal Officer and Corporate Secretary</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(408) 727-5555</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Name and telephone number, including area code,</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of the person to contact in connection with this report</w:t>
      </w:r>
      <w:r>
        <w:rPr>
          <w:rFonts w:ascii="Times New Roman" w:cs="Times New Roman" w:eastAsia="Times New Roman" w:hAnsi="Times New Roman"/>
          <w:sz w:val="22"/>
          <w:szCs w:val="22"/>
          <w:color w:val="auto"/>
        </w:rPr>
        <w:t>.)</w:t>
      </w:r>
    </w:p>
    <w:p>
      <w:pPr>
        <w:spacing w:after="0" w:line="200" w:lineRule="exact"/>
        <w:rPr>
          <w:sz w:val="24"/>
          <w:szCs w:val="24"/>
          <w:color w:val="auto"/>
        </w:rPr>
      </w:pPr>
    </w:p>
    <w:p>
      <w:pPr>
        <w:spacing w:after="0" w:line="277"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Check the appropriate box to indicate the rule pursuant to which this Form is being filed, and provide the period to which the information in this Form applies:</w:t>
      </w:r>
    </w:p>
    <w:p>
      <w:pPr>
        <w:spacing w:after="0" w:line="198" w:lineRule="exact"/>
        <w:rPr>
          <w:sz w:val="24"/>
          <w:szCs w:val="24"/>
          <w:color w:val="auto"/>
        </w:rPr>
      </w:pPr>
    </w:p>
    <w:p>
      <w:pPr>
        <w:ind w:left="580" w:right="40" w:hanging="548"/>
        <w:spacing w:after="0" w:line="212" w:lineRule="auto"/>
        <w:tabs>
          <w:tab w:leader="none" w:pos="5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13p-1 under the Securities Exchange Act (17 CFR 240.13p-1) for the reporting period from January 1 to December 31, 2025.</w:t>
      </w:r>
    </w:p>
    <w:p>
      <w:pPr>
        <w:spacing w:after="0" w:line="1" w:lineRule="exact"/>
        <w:rPr>
          <w:sz w:val="24"/>
          <w:szCs w:val="24"/>
          <w:color w:val="auto"/>
        </w:rPr>
      </w:pPr>
    </w:p>
    <w:p>
      <w:pPr>
        <w:ind w:left="580" w:hanging="548"/>
        <w:spacing w:after="0"/>
        <w:tabs>
          <w:tab w:leader="none" w:pos="5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13q-1 under the Securities Exchange Act (17 CFR 240.13q-1) for the fiscal year ended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15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00" w:lineRule="exact"/>
        <w:rPr>
          <w:sz w:val="20"/>
          <w:szCs w:val="20"/>
          <w:color w:val="auto"/>
        </w:rPr>
      </w:pPr>
    </w:p>
    <w:p>
      <w:pPr>
        <w:spacing w:after="0" w:line="38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SECTION 1 – CONFLICT MINERALS DISCLOSURE</w:t>
      </w:r>
    </w:p>
    <w:p>
      <w:pPr>
        <w:spacing w:after="0" w:line="200" w:lineRule="exact"/>
        <w:rPr>
          <w:sz w:val="20"/>
          <w:szCs w:val="20"/>
          <w:color w:val="auto"/>
        </w:rPr>
      </w:pPr>
    </w:p>
    <w:p>
      <w:pPr>
        <w:spacing w:after="0" w:line="288"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Item 1.01:</w:t>
      </w:r>
      <w:r>
        <w:rPr>
          <w:sz w:val="20"/>
          <w:szCs w:val="20"/>
          <w:color w:val="auto"/>
        </w:rPr>
        <w:tab/>
      </w:r>
      <w:r>
        <w:rPr>
          <w:rFonts w:ascii="Times New Roman" w:cs="Times New Roman" w:eastAsia="Times New Roman" w:hAnsi="Times New Roman"/>
          <w:sz w:val="21"/>
          <w:szCs w:val="21"/>
          <w:b w:val="1"/>
          <w:bCs w:val="1"/>
          <w:i w:val="1"/>
          <w:iCs w:val="1"/>
          <w:color w:val="auto"/>
        </w:rPr>
        <w:t>Conflict Minerals Disclosure and Report</w:t>
      </w:r>
    </w:p>
    <w:p>
      <w:pPr>
        <w:spacing w:after="0" w:line="200" w:lineRule="exact"/>
        <w:rPr>
          <w:sz w:val="20"/>
          <w:szCs w:val="20"/>
          <w:color w:val="auto"/>
        </w:rPr>
      </w:pPr>
    </w:p>
    <w:p>
      <w:pPr>
        <w:spacing w:after="0" w:line="255" w:lineRule="exact"/>
        <w:rPr>
          <w:sz w:val="20"/>
          <w:szCs w:val="20"/>
          <w:color w:val="auto"/>
        </w:rPr>
      </w:pPr>
    </w:p>
    <w:p>
      <w:pPr>
        <w:ind w:firstLine="401"/>
        <w:spacing w:after="0" w:line="257" w:lineRule="auto"/>
        <w:rPr>
          <w:sz w:val="20"/>
          <w:szCs w:val="20"/>
          <w:color w:val="auto"/>
        </w:rPr>
      </w:pPr>
      <w:r>
        <w:rPr>
          <w:rFonts w:ascii="Times New Roman" w:cs="Times New Roman" w:eastAsia="Times New Roman" w:hAnsi="Times New Roman"/>
          <w:sz w:val="22"/>
          <w:szCs w:val="22"/>
          <w:color w:val="auto"/>
        </w:rPr>
        <w:t>Applied Materials, Inc. has filed a Conflict Minerals Report as an exhibit to this report on Form SD and has also posted the report on its publicly available website at https://www.appliedmaterials.com/us/en/corporate-responsibility/reports-and-policies.html.</w:t>
      </w:r>
    </w:p>
    <w:p>
      <w:pPr>
        <w:spacing w:after="0" w:line="39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Item 1.02:</w:t>
      </w:r>
      <w:r>
        <w:rPr>
          <w:sz w:val="20"/>
          <w:szCs w:val="20"/>
          <w:color w:val="auto"/>
        </w:rPr>
        <w:tab/>
      </w:r>
      <w:r>
        <w:rPr>
          <w:rFonts w:ascii="Times New Roman" w:cs="Times New Roman" w:eastAsia="Times New Roman" w:hAnsi="Times New Roman"/>
          <w:sz w:val="21"/>
          <w:szCs w:val="21"/>
          <w:b w:val="1"/>
          <w:bCs w:val="1"/>
          <w:i w:val="1"/>
          <w:iCs w:val="1"/>
          <w:color w:val="auto"/>
        </w:rPr>
        <w:t>Exhibit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Conflict Minerals Report is attached as Exhibit 1.01 to this report.</w:t>
      </w:r>
    </w:p>
    <w:p>
      <w:pPr>
        <w:spacing w:after="0" w:line="200" w:lineRule="exact"/>
        <w:rPr>
          <w:sz w:val="20"/>
          <w:szCs w:val="20"/>
          <w:color w:val="auto"/>
        </w:rPr>
      </w:pPr>
    </w:p>
    <w:p>
      <w:pPr>
        <w:spacing w:after="0" w:line="28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SECTION 3 – EXHIBITS</w:t>
      </w:r>
    </w:p>
    <w:p>
      <w:pPr>
        <w:spacing w:after="0" w:line="200" w:lineRule="exact"/>
        <w:rPr>
          <w:sz w:val="20"/>
          <w:szCs w:val="20"/>
          <w:color w:val="auto"/>
        </w:rPr>
      </w:pPr>
    </w:p>
    <w:p>
      <w:pPr>
        <w:spacing w:after="0" w:line="234"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Item 3.01:</w:t>
      </w:r>
      <w:r>
        <w:rPr>
          <w:sz w:val="20"/>
          <w:szCs w:val="20"/>
          <w:color w:val="auto"/>
        </w:rPr>
        <w:tab/>
      </w:r>
      <w:r>
        <w:rPr>
          <w:rFonts w:ascii="Times New Roman" w:cs="Times New Roman" w:eastAsia="Times New Roman" w:hAnsi="Times New Roman"/>
          <w:sz w:val="21"/>
          <w:szCs w:val="21"/>
          <w:b w:val="1"/>
          <w:bCs w:val="1"/>
          <w:i w:val="1"/>
          <w:iCs w:val="1"/>
          <w:color w:val="auto"/>
        </w:rPr>
        <w:t>Exhibits</w:t>
      </w:r>
    </w:p>
    <w:p>
      <w:pPr>
        <w:spacing w:after="0" w:line="200" w:lineRule="exact"/>
        <w:rPr>
          <w:sz w:val="20"/>
          <w:szCs w:val="20"/>
          <w:color w:val="auto"/>
        </w:rPr>
      </w:pPr>
    </w:p>
    <w:p>
      <w:pPr>
        <w:spacing w:after="0" w:line="3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Exhibit</w:t>
      </w:r>
    </w:p>
    <w:p>
      <w:pPr>
        <w:ind w:left="300"/>
        <w:spacing w:after="0" w:line="184" w:lineRule="auto"/>
        <w:tabs>
          <w:tab w:leader="none" w:pos="1180" w:val="left"/>
        </w:tabs>
        <w:rPr>
          <w:sz w:val="20"/>
          <w:szCs w:val="20"/>
          <w:color w:val="auto"/>
        </w:rPr>
      </w:pPr>
      <w:r>
        <w:rPr>
          <w:rFonts w:ascii="Times New Roman" w:cs="Times New Roman" w:eastAsia="Times New Roman" w:hAnsi="Times New Roman"/>
          <w:sz w:val="36"/>
          <w:szCs w:val="36"/>
          <w:b w:val="1"/>
          <w:bCs w:val="1"/>
          <w:color w:val="auto"/>
          <w:vertAlign w:val="superscript"/>
        </w:rPr>
        <w:t>No.</w:t>
      </w:r>
      <w:r>
        <w:rPr>
          <w:sz w:val="20"/>
          <w:szCs w:val="20"/>
          <w:color w:val="auto"/>
        </w:rPr>
        <w:tab/>
      </w:r>
      <w:r>
        <w:rPr>
          <w:rFonts w:ascii="Times New Roman" w:cs="Times New Roman" w:eastAsia="Times New Roman" w:hAnsi="Times New Roman"/>
          <w:sz w:val="20"/>
          <w:szCs w:val="2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23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18" w:lineRule="exact"/>
        <w:rPr>
          <w:sz w:val="20"/>
          <w:szCs w:val="20"/>
          <w:color w:val="auto"/>
        </w:rPr>
      </w:pPr>
    </w:p>
    <w:p>
      <w:pPr>
        <w:ind w:left="260"/>
        <w:spacing w:after="0"/>
        <w:tabs>
          <w:tab w:leader="none" w:pos="1220"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1"/>
          <w:szCs w:val="21"/>
          <w:u w:val="single" w:color="auto"/>
          <w:color w:val="0E32E1"/>
        </w:rPr>
        <w:t>Conflict Minerals Report as required by Items 1.01 and 1.02 of this Form</w:t>
      </w:r>
      <w:r>
        <w:rPr>
          <w:rFonts w:ascii="Times New Roman" w:cs="Times New Roman" w:eastAsia="Times New Roman" w:hAnsi="Times New Roman"/>
          <w:sz w:val="21"/>
          <w:szCs w:val="21"/>
          <w:u w:val="single" w:color="auto"/>
          <w:color w:val="000000"/>
        </w:rPr>
        <w:t>.</w:t>
      </w:r>
    </w:p>
    <w:p>
      <w:pPr>
        <w:spacing w:after="0" w:line="200" w:lineRule="exact"/>
        <w:rPr>
          <w:sz w:val="20"/>
          <w:szCs w:val="20"/>
          <w:color w:val="auto"/>
        </w:rPr>
      </w:pPr>
    </w:p>
    <w:p>
      <w:pPr>
        <w:spacing w:after="0" w:line="23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320" w:top="1440" w:right="51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18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Applied Materials, Inc.</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(Registrant)</w:t>
      </w:r>
    </w:p>
    <w:p>
      <w:pPr>
        <w:sectPr>
          <w:pgSz w:w="11900" w:h="16838" w:orient="portrait"/>
          <w:cols w:equalWidth="0" w:num="1">
            <w:col w:w="10660"/>
          </w:cols>
          <w:pgMar w:left="320" w:top="1440" w:right="919" w:bottom="1440" w:gutter="0" w:footer="0" w:header="0"/>
        </w:sectPr>
      </w:pPr>
    </w:p>
    <w:p>
      <w:pPr>
        <w:spacing w:after="0" w:line="2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Brice Hill</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May 28, 2026</w:t>
      </w:r>
    </w:p>
    <w:p>
      <w:pPr>
        <w:spacing w:after="0" w:line="41" w:lineRule="exact"/>
        <w:rPr>
          <w:sz w:val="20"/>
          <w:szCs w:val="20"/>
          <w:color w:val="auto"/>
        </w:rPr>
      </w:pPr>
    </w:p>
    <w:p>
      <w:pPr>
        <w:sectPr>
          <w:pgSz w:w="11900" w:h="16838" w:orient="portrait"/>
          <w:cols w:equalWidth="0" w:num="3">
            <w:col w:w="1020" w:space="720"/>
            <w:col w:w="4020" w:space="720"/>
            <w:col w:w="4180"/>
          </w:cols>
          <w:pgMar w:left="320" w:top="1440" w:right="919" w:bottom="1440" w:gutter="0" w:footer="0" w:header="0"/>
          <w:type w:val="continuous"/>
        </w:sectPr>
      </w:pPr>
    </w:p>
    <w:p>
      <w:pPr>
        <w:ind w:left="1900"/>
        <w:spacing w:after="0"/>
        <w:rPr>
          <w:sz w:val="20"/>
          <w:szCs w:val="20"/>
          <w:color w:val="auto"/>
        </w:rPr>
      </w:pPr>
      <w:r>
        <w:rPr>
          <w:rFonts w:ascii="Times New Roman" w:cs="Times New Roman" w:eastAsia="Times New Roman" w:hAnsi="Times New Roman"/>
          <w:sz w:val="22"/>
          <w:szCs w:val="22"/>
          <w:color w:val="auto"/>
        </w:rPr>
        <w:t>Brice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-158750</wp:posOffset>
            </wp:positionV>
            <wp:extent cx="3231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ind w:left="720"/>
        <w:spacing w:after="0"/>
        <w:rPr>
          <w:sz w:val="20"/>
          <w:szCs w:val="20"/>
          <w:color w:val="auto"/>
        </w:rPr>
      </w:pPr>
      <w:r>
        <w:rPr>
          <w:rFonts w:ascii="Times New Roman" w:cs="Times New Roman" w:eastAsia="Times New Roman" w:hAnsi="Times New Roman"/>
          <w:sz w:val="22"/>
          <w:szCs w:val="22"/>
          <w:i w:val="1"/>
          <w:iCs w:val="1"/>
          <w:color w:val="auto"/>
        </w:rPr>
        <w:t>Senior Vice President, Chief Financial Officer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660"/>
          </w:cols>
          <w:pgMar w:left="320" w:top="1440" w:right="919" w:bottom="1440" w:gutter="0" w:footer="0" w:header="0"/>
          <w:type w:val="continuous"/>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APPLIED MATERIALS,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CONFLICT MINERALS REPORT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YEAR ENDED DECEMBER 31, 2025</w:t>
      </w: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This is the Conflict Minerals Report of Applied Materials, Inc., including its subsidiaries (collectively, “Applied” or the “Company”), prepared in accordance with Rule 13p-1 under the Securities Exchange Act of 1934. Terms used in this report have the meaning specified in Rule 13p-l and/or Form SD issued by the Securities and Exchange Commission, except as otherwise expressly defined herein. Form SD defines “conflict minerals” as cassiterite, columbite-tantalite (coltan) and wolframite (and their derivatives, tin, tantalum and tungsten, respectively), and gold, regardless of the geographic origin of the minerals and whether or not they fund armed conflict. This report pertains to products manufactured from January 1 through December 31, 2025, for which any conflict minerals are necessary to the functionality or production of the product, as described further below.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Overview</w:t>
      </w:r>
    </w:p>
    <w:p>
      <w:pPr>
        <w:spacing w:after="0" w:line="2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 global company with a broad set of capabilities in materials engineering, Applied provides manufacturing equipment, services and software to the semiconductor and related industries, and operates under two reportable segments: Semiconductor Systems and Applied Global Services.</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Applied Materials is committed to protecting human rights and conducting business in an ethical and responsible manner. Our commitment extends to the responsible sourcing of materials used in our products, as reflected in the Applied Materials Responsible Minerals Sourcing Policy (“Policy”). In addition to the Policy, we outline our expectations for all suppliers and partners with whom we work in our Standards of Business Conduct for Business Partners (“Standards”) and our Human Rights Statement of Principles (“Principles”). The Company contractually requires its direct suppliers to adhere to the Policy, Standards and Principles and to reasonably ensure products they sell to Applied do not contain conflict minerals unless these originated outside the Democratic Republic of the Congo or an adjoining country (collectively, the “DRC”) or from RMI “Conformant” sources within the DRC, as further defined below.</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Applied does not directly purchase raw ore or unrefined conflict minerals, nor does it have a direct relationship with any mines of origin or with any smelters or refiners (collectively, “smelters”) that process these minerals. Rather, Applied is a downstream company with an extensive and complex supply chain from which it purchases parts, components and assemblies (collectively, “Parts”). The Company’s manufacturing activities consist primarily of the assembly, testing and integration of various proprietary and commercial Parts that are used to manufacture systems. Applied has a distributed manufacturing model under which manufacturing and supply chain activities are conducted at its facilities, or those of contract manufacturers, located in various countries. Applied’s equipment products, due to their size and complexity, generally consist of thousands of Parts sourced from a multitude of suppliers. Because of Applied’s downstream position in our supply chain, many tiers removed from conflict minerals smelters, any efforts to understand the origin of any conflict minerals in our Covered Products (as defined below) necessarily relies on the cooperation of our direct suppliers and the disclosures by our suppliers of the source of conflict minerals they obtain from lower tier suppliers and smelters.</w:t>
      </w:r>
    </w:p>
    <w:p>
      <w:pPr>
        <w:spacing w:after="0" w:line="204"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As detailed in this report, our approach to verifying the source and chain of custody of conflict minerals in our supply chain is designed to conform in all material respects with the </w:t>
      </w:r>
      <w:r>
        <w:rPr>
          <w:rFonts w:ascii="Times New Roman" w:cs="Times New Roman" w:eastAsia="Times New Roman" w:hAnsi="Times New Roman"/>
          <w:sz w:val="20"/>
          <w:szCs w:val="20"/>
          <w:i w:val="1"/>
          <w:iCs w:val="1"/>
          <w:u w:val="single" w:color="auto"/>
          <w:color w:val="auto"/>
        </w:rPr>
        <w:t>OECD Due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4" w:name="page5"/>
    <w:bookmarkEnd w:id="4"/>
    <w:p>
      <w:pPr>
        <w:jc w:val="both"/>
        <w:ind w:right="20"/>
        <w:spacing w:after="0" w:line="287" w:lineRule="auto"/>
        <w:rPr>
          <w:sz w:val="20"/>
          <w:szCs w:val="20"/>
          <w:color w:val="auto"/>
        </w:rPr>
      </w:pPr>
      <w:r>
        <w:rPr>
          <w:rFonts w:ascii="Times New Roman" w:cs="Times New Roman" w:eastAsia="Times New Roman" w:hAnsi="Times New Roman"/>
          <w:sz w:val="20"/>
          <w:szCs w:val="20"/>
          <w:i w:val="1"/>
          <w:iCs w:val="1"/>
          <w:u w:val="single" w:color="auto"/>
          <w:color w:val="auto"/>
        </w:rPr>
        <w:t>Diligence Guidance for Responsible Supply Chains of Minerals from Conflict-Affected and High-Risk Areas: Third Edition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the related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Supplements (“OECD Guidance”).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Products Covered by this Report</w:t>
      </w:r>
    </w:p>
    <w:p>
      <w:pPr>
        <w:spacing w:after="0" w:line="2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Tantalum, tin, tungsten and gold are metals commonly used in the electronics and related industries due to physical properties that make them well-suited for a variety of applications, such as in cables, printed circuit boards, power supplies, capacitors, solder alloys and certain plastics. As a result, all or substantially all of Applied’s equipment products, and many of its spare parts products, manufactured in 2025 include components for which one or more conflict minerals are necessary to the functionality or production of the product and are therefore considered “Covered Products” for purposes of this report. The following is a general description of Covered Products by our two reporting segments and other business.</w:t>
      </w:r>
    </w:p>
    <w:p>
      <w:pPr>
        <w:spacing w:after="0" w:line="21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i w:val="1"/>
          <w:iCs w:val="1"/>
          <w:u w:val="single" w:color="auto"/>
          <w:color w:val="auto"/>
        </w:rPr>
        <w:t>Semiconductor Systems</w:t>
      </w:r>
      <w:r>
        <w:rPr>
          <w:rFonts w:ascii="Times New Roman" w:cs="Times New Roman" w:eastAsia="Times New Roman" w:hAnsi="Times New Roman"/>
          <w:sz w:val="20"/>
          <w:szCs w:val="20"/>
          <w:color w:val="auto"/>
        </w:rPr>
        <w:t>. Applied’s Semiconductor Systems segment designs, develops, manufactures and sells a wide range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manufacturing equipment used to fabricate semiconductor chips, also referred to as integrated circuits (ICs). The Semiconductor Systems segment consists of the semiconductor capital equipment industry’s most comprehensive portfolio of products used in the chip making process. Our products address steps across materials engineering, process control and advanced packaging, including the conversion of patterns into device structures, transistor and interconnect fabrication, metrology, inspection and review, and packaging technologies for connecting finished IC die. The segment’s sales are to customers that serve the following markets: foundry, logic and other; dynamic random access memory (DRAM); and flash memory (NAND). Foundry, logic and other is comprised of leading-edge and non-leading edge technology nodes. Leading-edge represents customers that are producing on the most advanced technology nodes, defined as 7 nanometers and smaller. Non-leading edge technology nodes serve markets such as internet of things, communications, automotive, power and sensors.</w:t>
      </w:r>
    </w:p>
    <w:p>
      <w:pPr>
        <w:spacing w:after="0" w:line="20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i w:val="1"/>
          <w:iCs w:val="1"/>
          <w:u w:val="single" w:color="auto"/>
          <w:color w:val="auto"/>
        </w:rPr>
        <w:t>Applied Global Services</w:t>
      </w:r>
      <w:r>
        <w:rPr>
          <w:rFonts w:ascii="Times New Roman" w:cs="Times New Roman" w:eastAsia="Times New Roman" w:hAnsi="Times New Roman"/>
          <w:sz w:val="20"/>
          <w:szCs w:val="20"/>
          <w:color w:val="auto"/>
        </w:rPr>
        <w:t>. This segment provides service products, spares and factory automation software to customer fabrication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plants globally. Through October 26, 2025, this segment also manufactured and sold 200mm and other equipment, which was shipped to customers globally that serve non-leading-edge markets. Effective the first quarter of our fiscal 2026, our 200mm equipment business was moved to our Semiconductor Systems segment.</w:t>
      </w:r>
    </w:p>
    <w:p>
      <w:pPr>
        <w:spacing w:after="0" w:line="205"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i w:val="1"/>
          <w:iCs w:val="1"/>
          <w:u w:val="single" w:color="auto"/>
          <w:color w:val="auto"/>
        </w:rPr>
        <w:t>Other</w:t>
      </w:r>
      <w:r>
        <w:rPr>
          <w:rFonts w:ascii="Times New Roman" w:cs="Times New Roman" w:eastAsia="Times New Roman" w:hAnsi="Times New Roman"/>
          <w:sz w:val="20"/>
          <w:szCs w:val="20"/>
          <w:color w:val="auto"/>
        </w:rPr>
        <w:t>. We also manufacture products and serve customers in certain other industries, including manufacturing equipment for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display industry.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Applied’s Conflict Mineral’s Compliance Program and Findings</w:t>
      </w:r>
    </w:p>
    <w:p>
      <w:pPr>
        <w:spacing w:after="0" w:line="2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Applied conducted in good faith a reasonable country of origin inquiry (“RCOI”) that it believes was reasonably designed to determine whether any of the necessary conflict minerals in its Covered Products manufactured in 2025 originated in the Democratic Republic of the Congo or an adjoining country (collectively, the “DRC”), or Conflict Affected High Risk Areas (CAHRAs), or were from recycled or scrap sources. Based on its RCOI, Applied determined it had insufficient information to conclude either (i) that all of its necessary conflict minerals originated outside the DRC or any CAHRAs or from sources within the DRC or any CAHRAs deemed “Conformant” by the Responsible Minerals Initiative (“RMI”), or (ii) that all of its necessary conflict minerals came from recycled or scrap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09" w:right="33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20"/>
          <w:szCs w:val="20"/>
          <w:color w:val="auto"/>
        </w:rPr>
        <w:t>Applied therefore undertook further due diligence on the source and chain of custody of necessary conflict minerals contained in its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Covered Products. Its due diligence approach was designed to conform in all material respects with the OECD Guidance. Since 2025,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Applied has worked with SupplierSoft Inc., a third-party service provider, as its partner for conflict minerals due diligence.</w:t>
      </w:r>
    </w:p>
    <w:p>
      <w:pPr>
        <w:spacing w:after="0" w:line="23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For calendar year 2025, Applied started with the list of surveyed suppliers for calendar year 2024 (190 suppliers), removed one supplier that merged with an existing supplier, and removed five suppliers who during the past consecutive three years reported there were no conflict minerals in products supplied to Applied, arriving at the list of suppliers to be surveyed (the “Surveyed Suppliers”) (184 in total). Applied previously selected the surveyed suppliers by identifying (i) the top direct (or first-tier) suppliers in terms of total spend, (ii) suppliers who during the past five years were part of the top direct suppliers by spend, and (iii) suppliers considered reasonably likely to provide Parts containing conflict minerals based upon the commodity (e.g., suppliers of sputtering targets and suppliers of gold plating) or based upon prior reporting. Further, to reach suppliers with lower spend, Applied directly contacted almost all direct suppliers with a request to provide conflict minerals information. Following our risk-based approach, we then elected to cease outreach to suppliers who consistently stated they did not use conflict minerals in products furnished to Applied and instead focus our efforts on suppliers more likely to have conflict minerals in their products. The Surveyed Suppliers represent approximately 65% of the Company’s actual total expenditures to all direct suppliers for fiscal year 2025.</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All of the Surveyed Suppliers responded. Of the smelters that were reported by the Surveyed Suppliers, 6.57% used minerals that originated from 100% recycled or scrap sources.</w:t>
      </w:r>
    </w:p>
    <w:p>
      <w:pPr>
        <w:spacing w:after="0" w:line="22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table below summarizes certain information pertaining to smelters identified by Surveyed Suppliers. The Responsible Minerals Initiative (“RMI”), of which Applied is a member, defines “Conformant” smelters as those smelters that are conformant with the Responsible Minerals Assurance Process (“RMAP”) assessment protocols. “Active” smelters and refiners are participants in the RMAP who have agreed in writing to undergo a third-party audit or are participating in one of the cross-recognized certification programs, signed an “Agreement for the Exchange of Confidential Information” and submitted a due diligence checklist. The classification of smelters considered Conformant or Active is as reported by the RMI in their Facility Database (https://www.responsiblemineralsinitiative.org/facility-links/facility-database/) and is current as of April 30, 2026.</w:t>
      </w:r>
    </w:p>
    <w:p>
      <w:pPr>
        <w:spacing w:after="0" w:line="250" w:lineRule="exact"/>
        <w:rPr>
          <w:sz w:val="20"/>
          <w:szCs w:val="20"/>
          <w:color w:val="auto"/>
        </w:rPr>
      </w:pPr>
    </w:p>
    <w:tbl>
      <w:tblPr>
        <w:tblLayout w:type="fixed"/>
        <w:tblInd w:w="510" w:type="dxa"/>
        <w:tblCellMar>
          <w:top w:w="0" w:type="dxa"/>
          <w:left w:w="0" w:type="dxa"/>
          <w:bottom w:w="0" w:type="dxa"/>
          <w:right w:w="0" w:type="dxa"/>
        </w:tblCellMar>
      </w:tblPr>
      <w:tr>
        <w:trPr>
          <w:trHeight w:val="276"/>
        </w:trPr>
        <w:tc>
          <w:tcPr>
            <w:tcW w:w="90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Number of RMI “Conformant” smelters</w:t>
            </w:r>
          </w:p>
        </w:tc>
        <w:tc>
          <w:tcPr>
            <w:tcW w:w="1120" w:type="dxa"/>
            <w:vAlign w:val="bottom"/>
            <w:tcBorders>
              <w:top w:val="single" w:sz="8" w:color="auto"/>
              <w:right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color w:val="auto"/>
              </w:rPr>
              <w:t>207</w:t>
            </w:r>
          </w:p>
        </w:tc>
      </w:tr>
      <w:tr>
        <w:trPr>
          <w:trHeight w:val="34"/>
        </w:trPr>
        <w:tc>
          <w:tcPr>
            <w:tcW w:w="9000" w:type="dxa"/>
            <w:vAlign w:val="bottom"/>
            <w:tcBorders>
              <w:left w:val="single" w:sz="8" w:color="auto"/>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r>
      <w:tr>
        <w:trPr>
          <w:trHeight w:val="256"/>
        </w:trPr>
        <w:tc>
          <w:tcPr>
            <w:tcW w:w="90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Number of “Eligible” smelters reported to be located in the DRC that are not rated “Conformant” or “Active”</w:t>
            </w:r>
          </w:p>
        </w:tc>
        <w:tc>
          <w:tcPr>
            <w:tcW w:w="1120" w:type="dxa"/>
            <w:vAlign w:val="bottom"/>
            <w:tcBorders>
              <w:right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2</w:t>
            </w:r>
          </w:p>
        </w:tc>
      </w:tr>
      <w:tr>
        <w:trPr>
          <w:trHeight w:val="34"/>
        </w:trPr>
        <w:tc>
          <w:tcPr>
            <w:tcW w:w="9000" w:type="dxa"/>
            <w:vAlign w:val="bottom"/>
            <w:tcBorders>
              <w:left w:val="single" w:sz="8" w:color="auto"/>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r>
    </w:tbl>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Attached as Appendix A is a list of the smelters identified by the Surveyed Suppliers as the facilities that process conflict minerals necessary to their products as communicated in their Conflict Minerals Reporting Template (“Template”). Most Surveyed Suppliers reported smelter information at the company level, not at the product level, and did not identify the specific smelters providing conflict minerals that were incorporated in a particular Part sold to Applied. Both company level and product level disclosures are overinclusive due to the nature of how the information disclosed is collected and distributed. Because the Surveyed Suppliers did not identify the specific smelter that processed conflict minerals contained in a particular Part, inclusion of a smelter or refiner in Appendix A does not necessarily mean that any minerals, including any conflict minerals, from any listed smelter are contained in any Part or included in a Covered Product. Further, we lack sufficient information to confirm the specific countries or mines of origin of the conflict minerals processed by those smelters.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1645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89" w:lineRule="exact"/>
        <w:rPr>
          <w:sz w:val="20"/>
          <w:szCs w:val="20"/>
          <w:color w:val="auto"/>
        </w:rPr>
      </w:pPr>
    </w:p>
    <w:p>
      <w:pPr>
        <w:ind w:left="140" w:hanging="132"/>
        <w:spacing w:after="0"/>
        <w:tabs>
          <w:tab w:leader="none" w:pos="140" w:val="left"/>
        </w:tabs>
        <w:numPr>
          <w:ilvl w:val="0"/>
          <w:numId w:val="3"/>
        </w:numPr>
        <w:rPr>
          <w:rFonts w:ascii="Verdana" w:cs="Verdana" w:eastAsia="Verdana" w:hAnsi="Verdana"/>
          <w:sz w:val="23"/>
          <w:szCs w:val="23"/>
          <w:color w:val="auto"/>
          <w:vertAlign w:val="superscript"/>
        </w:rPr>
      </w:pPr>
      <w:r>
        <w:rPr>
          <w:rFonts w:ascii="Times New Roman" w:cs="Times New Roman" w:eastAsia="Times New Roman" w:hAnsi="Times New Roman"/>
          <w:sz w:val="18"/>
          <w:szCs w:val="18"/>
          <w:color w:val="auto"/>
        </w:rPr>
        <w:t>Applied’s fiscal year ends on the last Sunday in October.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3" w:right="339" w:bottom="1440" w:gutter="0" w:footer="0" w:header="0"/>
        </w:sectPr>
      </w:pPr>
    </w:p>
    <w:bookmarkStart w:id="6" w:name="page7"/>
    <w:bookmarkEnd w:id="6"/>
    <w:p>
      <w:pPr>
        <w:spacing w:after="0" w:line="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Certain Surveyed Suppliers reported potential sourcing from two gold smelters or refiners in the DRC that were not deemed Conformant smelters (CID003185 - African Gold Refinery Ltd., and CID005006 – Gasabo Gold Refinery Ltd.). The Company has instructed the affected Surveyed Suppliers to remove these three smelters from their supply chains. However, our Surveyed Suppliers have no direct relationship with the smelters and are merely reporting information they received from their suppliers, who in turn rely on information from the sub-tier supply chain, often 8-10 levels deep. Information about these smelters lacked a chain of custody and therefore were insufficient to tie gold from one or more of these smelters to products supplied to Applied. Further, Applied found no direct evidence that minerals from these three smelters were incorporated into its Covered Products. Thus, we have no reason to believe that these smelters supply minerals that are contained in the Covered Products, and Applied has no contractual or direct business relationship with such smelters.</w:t>
      </w:r>
    </w:p>
    <w:p>
      <w:pPr>
        <w:spacing w:after="0" w:line="74" w:lineRule="exact"/>
        <w:rPr>
          <w:sz w:val="20"/>
          <w:szCs w:val="20"/>
          <w:color w:val="auto"/>
        </w:rPr>
      </w:pPr>
    </w:p>
    <w:p>
      <w:pPr>
        <w:jc w:val="both"/>
        <w:ind w:right="220" w:firstLine="648"/>
        <w:spacing w:after="0" w:line="258" w:lineRule="auto"/>
        <w:rPr>
          <w:sz w:val="20"/>
          <w:szCs w:val="20"/>
          <w:color w:val="auto"/>
        </w:rPr>
      </w:pPr>
      <w:r>
        <w:rPr>
          <w:rFonts w:ascii="Times New Roman" w:cs="Times New Roman" w:eastAsia="Times New Roman" w:hAnsi="Times New Roman"/>
          <w:sz w:val="20"/>
          <w:szCs w:val="20"/>
          <w:color w:val="auto"/>
        </w:rPr>
        <w:t>The Company’s Supply Chain Certification for Environmental and Social Sustainability (SuCCESS) Program Office is contacting other smelters reported by the Surveyed Suppliers that are not RMI Conformant or Active directly and via working groups within the RMI, urging them to submit to an RMI assessment and conform to the RMAP. In addition, Applied is supporting the RMI with efforts to release formal audit documents to improve the implementation of the RMAP program.</w:t>
      </w:r>
    </w:p>
    <w:p>
      <w:pPr>
        <w:spacing w:after="0" w:line="199" w:lineRule="exact"/>
        <w:rPr>
          <w:sz w:val="20"/>
          <w:szCs w:val="20"/>
          <w:color w:val="auto"/>
        </w:rPr>
      </w:pPr>
    </w:p>
    <w:p>
      <w:pPr>
        <w:ind w:right="260" w:firstLine="648"/>
        <w:spacing w:after="0" w:line="257" w:lineRule="auto"/>
        <w:rPr>
          <w:sz w:val="20"/>
          <w:szCs w:val="20"/>
          <w:color w:val="auto"/>
        </w:rPr>
      </w:pPr>
      <w:r>
        <w:rPr>
          <w:rFonts w:ascii="Times New Roman" w:cs="Times New Roman" w:eastAsia="Times New Roman" w:hAnsi="Times New Roman"/>
          <w:sz w:val="20"/>
          <w:szCs w:val="20"/>
          <w:color w:val="auto"/>
        </w:rPr>
        <w:t>The Surveyed Suppliers did not identify the specific smelters providing conflict minerals that were incorporated in a Part sold to Applied. Further, for many smelters reported by the Surveyed Suppliers, there is inadequate information available to assess the source or country of origin of the conflict minerals they process. Therefore, for Covered Products manufactured in 2025, Applied concluded in good faith that it lacks sufficient information to trace the chain of custody of any conflict minerals contained in its Covered Products up through the supply chain to a specific smelter or, in turn, to a country or mine of origin.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Applied’s Due Diligence Process</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Applied’s due diligence approach on the source and chain of custody of its necessary conflict minerals was designed to conform in all material respects with the OECD Guidance, an internationally recognized due diligence framework consisting of a multi-step, risk-based process, certain aspects of which differ depending in part on the position of a company in the supply chain. Applied is a “downstream” company, which refers to supply chain participants from the smelter to the retailer, in contrast to those “upstream,” that is, from the mine to the smelter.</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As a downstream provider of finished products, Applied does not have direct relationships with smelters and does not perform or specify audits of entities upstream in its supply chain. Through its membership and participation in the RBA, RMI and related working groups, Applied believes that seeking reliable information about smelters in its supply chain from its direct suppliers represents a reasonable and cost-effective approach to determine the mines or other locations of origin of conflict minerals in its products.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u w:val="single" w:color="auto"/>
          <w:color w:val="auto"/>
        </w:rPr>
        <w:t>Company Management System</w:t>
      </w:r>
    </w:p>
    <w:p>
      <w:pPr>
        <w:spacing w:after="0" w:line="247"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The SuCCESS Program Office is responsible for implementing the Company’s Responsible Minerals Sourcing program and briefing senior management about the results of these due diligence efforts.</w:t>
      </w:r>
    </w:p>
    <w:p>
      <w:pPr>
        <w:spacing w:after="0" w:line="18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 requires its direct suppliers to have programs and procedures in place to ensure that any conflict minerals used in the production of products sold to Applied conform to the requirements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jc w:val="both"/>
        <w:spacing w:after="0" w:line="253" w:lineRule="auto"/>
        <w:rPr>
          <w:sz w:val="20"/>
          <w:szCs w:val="20"/>
          <w:color w:val="auto"/>
        </w:rPr>
      </w:pPr>
      <w:r>
        <w:rPr>
          <w:rFonts w:ascii="Times New Roman" w:cs="Times New Roman" w:eastAsia="Times New Roman" w:hAnsi="Times New Roman"/>
          <w:sz w:val="20"/>
          <w:szCs w:val="20"/>
          <w:color w:val="auto"/>
        </w:rPr>
        <w:t>of the RMI. This means that products must not contain conflict minerals that directly or indirectly finance or benefit armed groups in the DRC. In addition, as a member of the RBA, Applied requires its suppliers to conform to the RBA Code of Conduct, which includes requirements pertaining to the responsible sourcing of conflict minerals. Such requirements, along with a requirement that suppliers provide completed Conflict Minerals Reporting Templates at Applied’s request, also are reflected in supplier contracts. If Applied learns that a Surveyed Supplier does not meet the Company’s requirements, Applied contacts the Surveyed Supplier and communicates the findings and recommended corrective action.</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Violations or grievances related to conflict minerals can be reported at the industry level to the RMI at http://www.responsiblemineralsinitiative.org/ or at a company level to our 24-hour ethics helpline that is run by an independent third party at helpline.appliedmaterials.com.</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Applied retains relevant documentation for a period of five years, including Templates completed by the Surveyed Suppliers.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u w:val="single" w:color="auto"/>
          <w:color w:val="auto"/>
        </w:rPr>
        <w:t>Risk Identification and Assessment</w:t>
      </w:r>
    </w:p>
    <w:p>
      <w:pPr>
        <w:spacing w:after="0" w:line="3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light of the complexity of its supply chain, Applied used a risk-based approach in designing the scope of its RCOI and due diligence process. As previously noted, the Company focused on direct suppliers who previously indicated the products they provide to Applied contain conflict minerals to arrive at the target list of Surveyed Suppliers. Applied’s SuCCESS Program Office partnered with SupplierSoft to conduct the outreach to the Surveyed Suppliers and compared information they provided to RMI data concerning the RMAP audit status of the applicable smelter.</w:t>
      </w:r>
    </w:p>
    <w:p>
      <w:pPr>
        <w:spacing w:after="0" w:line="22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Conflict Minerals Reporting Template (the “Template”) version 6.4 developed by the RMI was used to collect information on the conflict minerals that may be in Covered Products manufactured in 2025. By asking Surveyed Suppliers to complete the Template, Applied conducted a country-of-origin due diligence reasonably designed to determine whether any of the necessary conflict minerals in its Covered Products originated in the DRC or a CAHRA. Applied received wholly or partially completed Templates from 100% of its Surveyed Suppliers. The majority of the responding Surveyed Suppliers provided data at a company or “user defined” level, rather than at a part number level, a permitted option under the Template.</w:t>
      </w:r>
    </w:p>
    <w:p>
      <w:pPr>
        <w:spacing w:after="0" w:line="21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Applied assessed the status of smelters and refiners identified in the supply chain by the Surveyed Suppliers who listed mineral processing facilities in their Templates. Each identified smelter or refiner of a conflict mineral is assessed according to red-flag indicators defined in the OECD Guidance. These factors include (i) geographic proximity to the DRC, (ii) known mineral source country of origin, (iii) RMAP audit status, (iv) credible evidence of unethical or conflict sourcing and (v) peer assessments conducted by credible third-party sources. Such smelters are labeled smelters of interest. Applied then used the outcome of the risk assessment as well as RMI status to determine which smelter or refiner required further engagement.</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Applied was not required to, and it did not, obtain an independent private sector audit of its due diligence approach.</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u w:val="single" w:color="auto"/>
          <w:color w:val="auto"/>
        </w:rPr>
        <w:t>Risk Mitigation Strategy and Future Due Diligence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3" w:right="339" w:bottom="1440" w:gutter="0" w:footer="0" w:header="0"/>
        </w:sectPr>
      </w:pPr>
    </w:p>
    <w:bookmarkStart w:id="8" w:name="page9"/>
    <w:bookmarkEnd w:id="8"/>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Applied intends to continue to enhance its ability to identify suppliers reasonably likely to provide Parts containing conflict minerals, as well as its ability to link the smelter information its suppliers report to specific products they supply to Applied, by requiring suppliers to provide product level Templates for tantalum target, gold plating and special process parts.</w:t>
      </w:r>
    </w:p>
    <w:p>
      <w:pPr>
        <w:spacing w:after="0" w:line="2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The Company is a co-chair of the Responsible Minerals Initiative (RMI) Smelter Engagement Team, which contacts smelters and assists them with undergoing RMAP assessments to validate the smelters’ company-level management processes for responsible minerals procurement. The co-chair oversees the RMI Smelter Engagement Team sub-groups and acts as a liaison between the RMI and the sub-group members, which include the Single Point of Contacts (SPOC) for each eligible (as defined by the RMI) conflict minerals smelter. In 2025, the Company prioritized helping RMI with data cleanup efforts and confirmation of smelter eligibility. We recognize that our extensive and complex supply chain makes it challenging for us to influence conflict minerals sourcing decisions. Therefore, while we encourage our suppliers to reach out (or encourage their own suppliers to reach out) to upstream smelters that provide them with conflict minerals and require that such smelters obtain a “conflict-free” designation, we have decided to work through the RMI directly with the smelters and their respective SPOCs to encourage smelters (and ensure they have the necessary resources) to undergo an RMAP audit and achieve Conformant status. In 2025, the Company was the SPOC for and supported approximately 6 smelters undergoing RMI assessments to retain their “Conformant” status, in addition to organizing outreach for 3 smelter engagement sub-groups.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 Disclaimer</w:t>
      </w:r>
    </w:p>
    <w:p>
      <w:pPr>
        <w:spacing w:after="0" w:line="2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This report includes forward-looking statements, including those regarding Applied’s expected future supplier due diligence and engagement efforts and development of related processes, and other statements that are not historical facts. These statements and their underlying assumptions are subject to risks and uncertainties and are not guarantees of future performance. Factors that could cause actual results to differ materially from those expressed or implied by such statements include, without limitation: regulatory changes and judicial developments relating to conflict minerals disclosure; changes in our supply chain, components and parts, or products; industry developments relating to supply chain diligence, disclosure and other practices; and other factors discussed in the “Risk Factors” section of, and elsewhere in, our filings with the Securities and Exchange Commission, including our most recent Forms 10-K, 10-Q and 8-K. All forward-looking statements are based on management’s current estimates, projections and assumptions, and we assume no obligation to update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 Smelters and Refiners Identified by Surveyed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196850</wp:posOffset>
            </wp:positionV>
            <wp:extent cx="8890" cy="8066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80664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8890" cy="8066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8066405"/>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2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3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Smelter Facility Name</w:t>
            </w:r>
          </w:p>
        </w:tc>
        <w:tc>
          <w:tcPr>
            <w:tcW w:w="22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34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Smelter ID</w:t>
            </w:r>
          </w:p>
        </w:tc>
      </w:tr>
      <w:tr>
        <w:trPr>
          <w:trHeight w:val="175"/>
        </w:trPr>
        <w:tc>
          <w:tcPr>
            <w:tcW w:w="32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r>
    </w:tbl>
    <w:p>
      <w:pPr>
        <w:spacing w:after="0" w:line="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Gold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2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8853 S.p.A.</w:t>
            </w:r>
          </w:p>
        </w:tc>
        <w:tc>
          <w:tcPr>
            <w:tcW w:w="22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ITALY</w:t>
            </w:r>
          </w:p>
        </w:tc>
        <w:tc>
          <w:tcPr>
            <w:tcW w:w="34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CID002763</w:t>
            </w:r>
          </w:p>
        </w:tc>
        <w:tc>
          <w:tcPr>
            <w:tcW w:w="0" w:type="dxa"/>
            <w:vAlign w:val="bottom"/>
          </w:tcPr>
          <w:p>
            <w:pPr>
              <w:spacing w:after="0"/>
              <w:rPr>
                <w:sz w:val="1"/>
                <w:szCs w:val="1"/>
                <w:color w:val="auto"/>
              </w:rPr>
            </w:pPr>
          </w:p>
        </w:tc>
      </w:tr>
      <w:tr>
        <w:trPr>
          <w:trHeight w:val="175"/>
        </w:trPr>
        <w:tc>
          <w:tcPr>
            <w:tcW w:w="32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3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 OF</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CID002708</w:t>
            </w:r>
          </w:p>
        </w:tc>
        <w:tc>
          <w:tcPr>
            <w:tcW w:w="0" w:type="dxa"/>
            <w:vAlign w:val="bottom"/>
          </w:tcPr>
          <w:p>
            <w:pPr>
              <w:spacing w:after="0"/>
              <w:rPr>
                <w:sz w:val="1"/>
                <w:szCs w:val="1"/>
                <w:color w:val="auto"/>
              </w:rPr>
            </w:pPr>
          </w:p>
        </w:tc>
      </w:tr>
      <w:tr>
        <w:trPr>
          <w:trHeight w:val="234"/>
        </w:trPr>
        <w:tc>
          <w:tcPr>
            <w:tcW w:w="3280" w:type="dxa"/>
            <w:vAlign w:val="bottom"/>
            <w:tcBorders>
              <w:right w:val="single" w:sz="8" w:color="auto"/>
            </w:tcBorders>
          </w:tcPr>
          <w:p>
            <w:pPr>
              <w:spacing w:after="0"/>
              <w:rPr>
                <w:sz w:val="20"/>
                <w:szCs w:val="20"/>
                <w:color w:val="auto"/>
              </w:rPr>
            </w:pPr>
          </w:p>
        </w:tc>
        <w:tc>
          <w:tcPr>
            <w:tcW w:w="234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AMERICA</w:t>
            </w: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3280" w:type="dxa"/>
            <w:vAlign w:val="bottom"/>
            <w:tcBorders>
              <w:bottom w:val="single" w:sz="8" w:color="auto"/>
              <w:right w:val="single" w:sz="8" w:color="auto"/>
            </w:tcBorders>
          </w:tcPr>
          <w:p>
            <w:pPr>
              <w:spacing w:after="0"/>
              <w:rPr>
                <w:sz w:val="10"/>
                <w:szCs w:val="10"/>
                <w:color w:val="auto"/>
              </w:rPr>
            </w:pPr>
          </w:p>
        </w:tc>
        <w:tc>
          <w:tcPr>
            <w:tcW w:w="234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3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ABC Refinery Pty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AUSTRALIA</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CID002920</w:t>
            </w:r>
          </w:p>
        </w:tc>
        <w:tc>
          <w:tcPr>
            <w:tcW w:w="0" w:type="dxa"/>
            <w:vAlign w:val="bottom"/>
          </w:tcPr>
          <w:p>
            <w:pPr>
              <w:spacing w:after="0"/>
              <w:rPr>
                <w:sz w:val="1"/>
                <w:szCs w:val="1"/>
                <w:color w:val="auto"/>
              </w:rPr>
            </w:pPr>
          </w:p>
        </w:tc>
      </w:tr>
      <w:tr>
        <w:trPr>
          <w:trHeight w:val="176"/>
        </w:trPr>
        <w:tc>
          <w:tcPr>
            <w:tcW w:w="32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3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Advanced Chemical Company</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 OF</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CID000015</w:t>
            </w:r>
          </w:p>
        </w:tc>
        <w:tc>
          <w:tcPr>
            <w:tcW w:w="0" w:type="dxa"/>
            <w:vAlign w:val="bottom"/>
          </w:tcPr>
          <w:p>
            <w:pPr>
              <w:spacing w:after="0"/>
              <w:rPr>
                <w:sz w:val="1"/>
                <w:szCs w:val="1"/>
                <w:color w:val="auto"/>
              </w:rPr>
            </w:pPr>
          </w:p>
        </w:tc>
      </w:tr>
      <w:tr>
        <w:trPr>
          <w:trHeight w:val="234"/>
        </w:trPr>
        <w:tc>
          <w:tcPr>
            <w:tcW w:w="3280" w:type="dxa"/>
            <w:vAlign w:val="bottom"/>
            <w:tcBorders>
              <w:right w:val="single" w:sz="8" w:color="auto"/>
            </w:tcBorders>
          </w:tcPr>
          <w:p>
            <w:pPr>
              <w:spacing w:after="0"/>
              <w:rPr>
                <w:sz w:val="20"/>
                <w:szCs w:val="20"/>
                <w:color w:val="auto"/>
              </w:rPr>
            </w:pPr>
          </w:p>
        </w:tc>
        <w:tc>
          <w:tcPr>
            <w:tcW w:w="234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AMERICA</w:t>
            </w: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3280" w:type="dxa"/>
            <w:vAlign w:val="bottom"/>
            <w:tcBorders>
              <w:bottom w:val="single" w:sz="8" w:color="auto"/>
              <w:right w:val="single" w:sz="8" w:color="auto"/>
            </w:tcBorders>
          </w:tcPr>
          <w:p>
            <w:pPr>
              <w:spacing w:after="0"/>
              <w:rPr>
                <w:sz w:val="10"/>
                <w:szCs w:val="10"/>
                <w:color w:val="auto"/>
              </w:rPr>
            </w:pPr>
          </w:p>
        </w:tc>
        <w:tc>
          <w:tcPr>
            <w:tcW w:w="234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3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African Gold Refinery</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UGANDA</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CID003185</w:t>
            </w:r>
          </w:p>
        </w:tc>
        <w:tc>
          <w:tcPr>
            <w:tcW w:w="0" w:type="dxa"/>
            <w:vAlign w:val="bottom"/>
          </w:tcPr>
          <w:p>
            <w:pPr>
              <w:spacing w:after="0"/>
              <w:rPr>
                <w:sz w:val="1"/>
                <w:szCs w:val="1"/>
                <w:color w:val="auto"/>
              </w:rPr>
            </w:pPr>
          </w:p>
        </w:tc>
      </w:tr>
      <w:tr>
        <w:trPr>
          <w:trHeight w:val="176"/>
        </w:trPr>
        <w:tc>
          <w:tcPr>
            <w:tcW w:w="32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Agosi AG</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GERMANY</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CID000035</w:t>
            </w:r>
          </w:p>
        </w:tc>
        <w:tc>
          <w:tcPr>
            <w:tcW w:w="0" w:type="dxa"/>
            <w:vAlign w:val="bottom"/>
          </w:tcPr>
          <w:p>
            <w:pPr>
              <w:spacing w:after="0"/>
              <w:rPr>
                <w:sz w:val="1"/>
                <w:szCs w:val="1"/>
                <w:color w:val="auto"/>
              </w:rPr>
            </w:pPr>
          </w:p>
        </w:tc>
      </w:tr>
      <w:tr>
        <w:trPr>
          <w:trHeight w:val="175"/>
        </w:trPr>
        <w:tc>
          <w:tcPr>
            <w:tcW w:w="32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3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Aida Chemical Industries Co.,</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CID000019</w:t>
            </w:r>
          </w:p>
        </w:tc>
        <w:tc>
          <w:tcPr>
            <w:tcW w:w="0" w:type="dxa"/>
            <w:vAlign w:val="bottom"/>
          </w:tcPr>
          <w:p>
            <w:pPr>
              <w:spacing w:after="0"/>
              <w:rPr>
                <w:sz w:val="1"/>
                <w:szCs w:val="1"/>
                <w:color w:val="auto"/>
              </w:rPr>
            </w:pPr>
          </w:p>
        </w:tc>
      </w:tr>
      <w:tr>
        <w:trPr>
          <w:trHeight w:val="234"/>
        </w:trPr>
        <w:tc>
          <w:tcPr>
            <w:tcW w:w="3280" w:type="dxa"/>
            <w:vAlign w:val="bottom"/>
            <w:tcBorders>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Ltd.</w:t>
            </w:r>
          </w:p>
        </w:tc>
        <w:tc>
          <w:tcPr>
            <w:tcW w:w="2240" w:type="dxa"/>
            <w:vAlign w:val="bottom"/>
            <w:tcBorders>
              <w:right w:val="single" w:sz="8" w:color="auto"/>
            </w:tcBorders>
          </w:tcPr>
          <w:p>
            <w:pPr>
              <w:spacing w:after="0"/>
              <w:rPr>
                <w:sz w:val="20"/>
                <w:szCs w:val="20"/>
                <w:color w:val="auto"/>
              </w:rPr>
            </w:pP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3280" w:type="dxa"/>
            <w:vAlign w:val="bottom"/>
            <w:tcBorders>
              <w:bottom w:val="single" w:sz="8" w:color="auto"/>
              <w:right w:val="single" w:sz="8" w:color="auto"/>
            </w:tcBorders>
          </w:tcPr>
          <w:p>
            <w:pPr>
              <w:spacing w:after="0"/>
              <w:rPr>
                <w:sz w:val="10"/>
                <w:szCs w:val="10"/>
                <w:color w:val="auto"/>
              </w:rPr>
            </w:pPr>
          </w:p>
        </w:tc>
        <w:tc>
          <w:tcPr>
            <w:tcW w:w="234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32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 Etihad Gold Refinery</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w w:val="99"/>
              </w:rPr>
              <w:t>UNITED ARAB EMIRATES</w:t>
            </w:r>
          </w:p>
        </w:tc>
        <w:tc>
          <w:tcPr>
            <w:tcW w:w="34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CID002560</w:t>
            </w:r>
          </w:p>
        </w:tc>
        <w:tc>
          <w:tcPr>
            <w:tcW w:w="0" w:type="dxa"/>
            <w:vAlign w:val="bottom"/>
          </w:tcPr>
          <w:p>
            <w:pPr>
              <w:spacing w:after="0"/>
              <w:rPr>
                <w:sz w:val="1"/>
                <w:szCs w:val="1"/>
                <w:color w:val="auto"/>
              </w:rPr>
            </w:pPr>
          </w:p>
        </w:tc>
      </w:tr>
      <w:tr>
        <w:trPr>
          <w:trHeight w:val="113"/>
        </w:trPr>
        <w:tc>
          <w:tcPr>
            <w:tcW w:w="3280" w:type="dxa"/>
            <w:vAlign w:val="bottom"/>
            <w:tcBorders>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DMCC</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Albino Mountinho Lda.</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PORTUGAL</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CID002760</w:t>
            </w:r>
          </w:p>
        </w:tc>
        <w:tc>
          <w:tcPr>
            <w:tcW w:w="0" w:type="dxa"/>
            <w:vAlign w:val="bottom"/>
          </w:tcPr>
          <w:p>
            <w:pPr>
              <w:spacing w:after="0"/>
              <w:rPr>
                <w:sz w:val="1"/>
                <w:szCs w:val="1"/>
                <w:color w:val="auto"/>
              </w:rPr>
            </w:pPr>
          </w:p>
        </w:tc>
      </w:tr>
      <w:tr>
        <w:trPr>
          <w:trHeight w:val="175"/>
        </w:trPr>
        <w:tc>
          <w:tcPr>
            <w:tcW w:w="32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Alexy Metals</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 OF</w:t>
            </w:r>
          </w:p>
        </w:tc>
        <w:tc>
          <w:tcPr>
            <w:tcW w:w="34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CID003500</w:t>
            </w:r>
          </w:p>
        </w:tc>
        <w:tc>
          <w:tcPr>
            <w:tcW w:w="0" w:type="dxa"/>
            <w:vAlign w:val="bottom"/>
          </w:tcPr>
          <w:p>
            <w:pPr>
              <w:spacing w:after="0"/>
              <w:rPr>
                <w:sz w:val="1"/>
                <w:szCs w:val="1"/>
                <w:color w:val="auto"/>
              </w:rPr>
            </w:pPr>
          </w:p>
        </w:tc>
      </w:tr>
      <w:tr>
        <w:trPr>
          <w:trHeight w:val="113"/>
        </w:trPr>
        <w:tc>
          <w:tcPr>
            <w:tcW w:w="3280" w:type="dxa"/>
            <w:vAlign w:val="bottom"/>
            <w:tcBorders>
              <w:right w:val="single" w:sz="8" w:color="auto"/>
            </w:tcBorders>
            <w:vMerge w:val="continue"/>
          </w:tcPr>
          <w:p>
            <w:pPr>
              <w:spacing w:after="0"/>
              <w:rPr>
                <w:sz w:val="9"/>
                <w:szCs w:val="9"/>
                <w:color w:val="auto"/>
              </w:rPr>
            </w:pPr>
          </w:p>
        </w:tc>
        <w:tc>
          <w:tcPr>
            <w:tcW w:w="234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AMERICA</w:t>
            </w:r>
          </w:p>
        </w:tc>
        <w:tc>
          <w:tcPr>
            <w:tcW w:w="3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right w:val="single" w:sz="8" w:color="auto"/>
            </w:tcBorders>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3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Almalyk Mining and</w:t>
            </w:r>
          </w:p>
        </w:tc>
        <w:tc>
          <w:tcPr>
            <w:tcW w:w="2240" w:type="dxa"/>
            <w:vAlign w:val="bottom"/>
            <w:tcBorders>
              <w:right w:val="single" w:sz="8" w:color="auto"/>
            </w:tcBorders>
          </w:tcPr>
          <w:p>
            <w:pPr>
              <w:spacing w:after="0"/>
              <w:rPr>
                <w:sz w:val="20"/>
                <w:szCs w:val="20"/>
                <w:color w:val="auto"/>
              </w:rPr>
            </w:pP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Metallurgical Complex</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UZBEKISTAN</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CID000041</w:t>
            </w:r>
          </w:p>
        </w:tc>
        <w:tc>
          <w:tcPr>
            <w:tcW w:w="0" w:type="dxa"/>
            <w:vAlign w:val="bottom"/>
          </w:tcPr>
          <w:p>
            <w:pPr>
              <w:spacing w:after="0"/>
              <w:rPr>
                <w:sz w:val="1"/>
                <w:szCs w:val="1"/>
                <w:color w:val="auto"/>
              </w:rPr>
            </w:pPr>
          </w:p>
        </w:tc>
      </w:tr>
      <w:tr>
        <w:trPr>
          <w:trHeight w:val="234"/>
        </w:trPr>
        <w:tc>
          <w:tcPr>
            <w:tcW w:w="3280" w:type="dxa"/>
            <w:vAlign w:val="bottom"/>
            <w:tcBorders>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(AMMC)</w:t>
            </w:r>
          </w:p>
        </w:tc>
        <w:tc>
          <w:tcPr>
            <w:tcW w:w="2240" w:type="dxa"/>
            <w:vAlign w:val="bottom"/>
            <w:tcBorders>
              <w:right w:val="single" w:sz="8" w:color="auto"/>
            </w:tcBorders>
          </w:tcPr>
          <w:p>
            <w:pPr>
              <w:spacing w:after="0"/>
              <w:rPr>
                <w:sz w:val="20"/>
                <w:szCs w:val="20"/>
                <w:color w:val="auto"/>
              </w:rPr>
            </w:pP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2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AngloGold Ashanti Corrego</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34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CID000058</w:t>
            </w:r>
          </w:p>
        </w:tc>
        <w:tc>
          <w:tcPr>
            <w:tcW w:w="0" w:type="dxa"/>
            <w:vAlign w:val="bottom"/>
          </w:tcPr>
          <w:p>
            <w:pPr>
              <w:spacing w:after="0"/>
              <w:rPr>
                <w:sz w:val="1"/>
                <w:szCs w:val="1"/>
                <w:color w:val="auto"/>
              </w:rPr>
            </w:pPr>
          </w:p>
        </w:tc>
      </w:tr>
      <w:tr>
        <w:trPr>
          <w:trHeight w:val="113"/>
        </w:trPr>
        <w:tc>
          <w:tcPr>
            <w:tcW w:w="3280" w:type="dxa"/>
            <w:vAlign w:val="bottom"/>
            <w:tcBorders>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do Sitio Mineracao</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Argor-Heraeus S.A.</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SWITZERLAND</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CID000077</w:t>
            </w:r>
          </w:p>
        </w:tc>
        <w:tc>
          <w:tcPr>
            <w:tcW w:w="0" w:type="dxa"/>
            <w:vAlign w:val="bottom"/>
          </w:tcPr>
          <w:p>
            <w:pPr>
              <w:spacing w:after="0"/>
              <w:rPr>
                <w:sz w:val="1"/>
                <w:szCs w:val="1"/>
                <w:color w:val="auto"/>
              </w:rPr>
            </w:pPr>
          </w:p>
        </w:tc>
      </w:tr>
      <w:tr>
        <w:trPr>
          <w:trHeight w:val="175"/>
        </w:trPr>
        <w:tc>
          <w:tcPr>
            <w:tcW w:w="32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Asahi Metalfine, Inc.</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CID000082</w:t>
            </w:r>
          </w:p>
        </w:tc>
        <w:tc>
          <w:tcPr>
            <w:tcW w:w="0" w:type="dxa"/>
            <w:vAlign w:val="bottom"/>
          </w:tcPr>
          <w:p>
            <w:pPr>
              <w:spacing w:after="0"/>
              <w:rPr>
                <w:sz w:val="1"/>
                <w:szCs w:val="1"/>
                <w:color w:val="auto"/>
              </w:rPr>
            </w:pPr>
          </w:p>
        </w:tc>
      </w:tr>
      <w:tr>
        <w:trPr>
          <w:trHeight w:val="175"/>
        </w:trPr>
        <w:tc>
          <w:tcPr>
            <w:tcW w:w="32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CANADA</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CID000924</w:t>
            </w:r>
          </w:p>
        </w:tc>
        <w:tc>
          <w:tcPr>
            <w:tcW w:w="0" w:type="dxa"/>
            <w:vAlign w:val="bottom"/>
          </w:tcPr>
          <w:p>
            <w:pPr>
              <w:spacing w:after="0"/>
              <w:rPr>
                <w:sz w:val="1"/>
                <w:szCs w:val="1"/>
                <w:color w:val="auto"/>
              </w:rPr>
            </w:pPr>
          </w:p>
        </w:tc>
      </w:tr>
      <w:tr>
        <w:trPr>
          <w:trHeight w:val="175"/>
        </w:trPr>
        <w:tc>
          <w:tcPr>
            <w:tcW w:w="32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Asahi Refining USA Inc.</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 OF</w:t>
            </w:r>
          </w:p>
        </w:tc>
        <w:tc>
          <w:tcPr>
            <w:tcW w:w="34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CID000920</w:t>
            </w:r>
          </w:p>
        </w:tc>
        <w:tc>
          <w:tcPr>
            <w:tcW w:w="0" w:type="dxa"/>
            <w:vAlign w:val="bottom"/>
          </w:tcPr>
          <w:p>
            <w:pPr>
              <w:spacing w:after="0"/>
              <w:rPr>
                <w:sz w:val="1"/>
                <w:szCs w:val="1"/>
                <w:color w:val="auto"/>
              </w:rPr>
            </w:pPr>
          </w:p>
        </w:tc>
      </w:tr>
      <w:tr>
        <w:trPr>
          <w:trHeight w:val="113"/>
        </w:trPr>
        <w:tc>
          <w:tcPr>
            <w:tcW w:w="3280" w:type="dxa"/>
            <w:vAlign w:val="bottom"/>
            <w:tcBorders>
              <w:right w:val="single" w:sz="8" w:color="auto"/>
            </w:tcBorders>
            <w:vMerge w:val="continue"/>
          </w:tcPr>
          <w:p>
            <w:pPr>
              <w:spacing w:after="0"/>
              <w:rPr>
                <w:sz w:val="9"/>
                <w:szCs w:val="9"/>
                <w:color w:val="auto"/>
              </w:rPr>
            </w:pPr>
          </w:p>
        </w:tc>
        <w:tc>
          <w:tcPr>
            <w:tcW w:w="234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AMERICA</w:t>
            </w:r>
          </w:p>
        </w:tc>
        <w:tc>
          <w:tcPr>
            <w:tcW w:w="3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right w:val="single" w:sz="8" w:color="auto"/>
            </w:tcBorders>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3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Asaka Riken Co.,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CID000090</w:t>
            </w:r>
          </w:p>
        </w:tc>
        <w:tc>
          <w:tcPr>
            <w:tcW w:w="0" w:type="dxa"/>
            <w:vAlign w:val="bottom"/>
          </w:tcPr>
          <w:p>
            <w:pPr>
              <w:spacing w:after="0"/>
              <w:rPr>
                <w:sz w:val="1"/>
                <w:szCs w:val="1"/>
                <w:color w:val="auto"/>
              </w:rPr>
            </w:pPr>
          </w:p>
        </w:tc>
      </w:tr>
      <w:tr>
        <w:trPr>
          <w:trHeight w:val="176"/>
        </w:trPr>
        <w:tc>
          <w:tcPr>
            <w:tcW w:w="32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Atlantic Copper, S.L.U.</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SPAIN</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CID003350</w:t>
            </w:r>
          </w:p>
        </w:tc>
        <w:tc>
          <w:tcPr>
            <w:tcW w:w="0" w:type="dxa"/>
            <w:vAlign w:val="bottom"/>
          </w:tcPr>
          <w:p>
            <w:pPr>
              <w:spacing w:after="0"/>
              <w:rPr>
                <w:sz w:val="1"/>
                <w:szCs w:val="1"/>
                <w:color w:val="auto"/>
              </w:rPr>
            </w:pPr>
          </w:p>
        </w:tc>
      </w:tr>
      <w:tr>
        <w:trPr>
          <w:trHeight w:val="176"/>
        </w:trPr>
        <w:tc>
          <w:tcPr>
            <w:tcW w:w="32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Attero Recycling Pvt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INDIA</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CID004697</w:t>
            </w:r>
          </w:p>
        </w:tc>
        <w:tc>
          <w:tcPr>
            <w:tcW w:w="0" w:type="dxa"/>
            <w:vAlign w:val="bottom"/>
          </w:tcPr>
          <w:p>
            <w:pPr>
              <w:spacing w:after="0"/>
              <w:rPr>
                <w:sz w:val="1"/>
                <w:szCs w:val="1"/>
                <w:color w:val="auto"/>
              </w:rPr>
            </w:pPr>
          </w:p>
        </w:tc>
      </w:tr>
      <w:tr>
        <w:trPr>
          <w:trHeight w:val="175"/>
        </w:trPr>
        <w:tc>
          <w:tcPr>
            <w:tcW w:w="32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AU Traders and Refiners</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SOUTH AFRICA</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CID002850</w:t>
            </w:r>
          </w:p>
        </w:tc>
        <w:tc>
          <w:tcPr>
            <w:tcW w:w="0" w:type="dxa"/>
            <w:vAlign w:val="bottom"/>
          </w:tcPr>
          <w:p>
            <w:pPr>
              <w:spacing w:after="0"/>
              <w:rPr>
                <w:sz w:val="1"/>
                <w:szCs w:val="1"/>
                <w:color w:val="auto"/>
              </w:rPr>
            </w:pPr>
          </w:p>
        </w:tc>
      </w:tr>
      <w:tr>
        <w:trPr>
          <w:trHeight w:val="176"/>
        </w:trPr>
        <w:tc>
          <w:tcPr>
            <w:tcW w:w="32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Augmont Enterprises Private</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INDIA</w:t>
            </w:r>
          </w:p>
        </w:tc>
        <w:tc>
          <w:tcPr>
            <w:tcW w:w="34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CID003461</w:t>
            </w:r>
          </w:p>
        </w:tc>
        <w:tc>
          <w:tcPr>
            <w:tcW w:w="0" w:type="dxa"/>
            <w:vAlign w:val="bottom"/>
          </w:tcPr>
          <w:p>
            <w:pPr>
              <w:spacing w:after="0"/>
              <w:rPr>
                <w:sz w:val="1"/>
                <w:szCs w:val="1"/>
                <w:color w:val="auto"/>
              </w:rPr>
            </w:pPr>
          </w:p>
        </w:tc>
      </w:tr>
      <w:tr>
        <w:trPr>
          <w:trHeight w:val="113"/>
        </w:trPr>
        <w:tc>
          <w:tcPr>
            <w:tcW w:w="3280" w:type="dxa"/>
            <w:vAlign w:val="bottom"/>
            <w:tcBorders>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Limited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Aurubis AG, Hamburg</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GERMANY</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CID000113</w:t>
            </w:r>
          </w:p>
        </w:tc>
        <w:tc>
          <w:tcPr>
            <w:tcW w:w="0" w:type="dxa"/>
            <w:vAlign w:val="bottom"/>
          </w:tcPr>
          <w:p>
            <w:pPr>
              <w:spacing w:after="0"/>
              <w:rPr>
                <w:sz w:val="1"/>
                <w:szCs w:val="1"/>
                <w:color w:val="auto"/>
              </w:rPr>
            </w:pPr>
          </w:p>
        </w:tc>
      </w:tr>
      <w:tr>
        <w:trPr>
          <w:trHeight w:val="176"/>
        </w:trPr>
        <w:tc>
          <w:tcPr>
            <w:tcW w:w="32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22" w:right="319" w:bottom="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60"/>
          </w:cols>
          <w:pgMar w:left="320" w:top="1422" w:right="319" w:bottom="65" w:gutter="0" w:footer="0" w:header="0"/>
          <w:type w:val="continuous"/>
        </w:sectPr>
      </w:pPr>
    </w:p>
    <w:bookmarkStart w:id="10" w:name="page11"/>
    <w:bookmarkEnd w:id="1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2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3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Smelter Facility Name</w:t>
            </w:r>
          </w:p>
        </w:tc>
        <w:tc>
          <w:tcPr>
            <w:tcW w:w="22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34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Bangalore Refinery</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INDIA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CID002863</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Bangko Sentral ng Pilipinas</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(Central Bank of the</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PHILIPPINES</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CID000128</w:t>
            </w: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Philippines)</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280" w:type="dxa"/>
            <w:vAlign w:val="bottom"/>
            <w:tcBorders>
              <w:left w:val="single" w:sz="8" w:color="auto"/>
              <w:bottom w:val="single" w:sz="8" w:color="auto"/>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34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Boliden Mineral AB</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SWEDEN</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CID000157</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(Ronnskar)</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 Hafner GmbH + Co. KG</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GERMANY</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CID000176</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Caridad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MEXICO</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CID000180</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Cendres + Metaux S.A.</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SWITZERLAND</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CID000189</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CGR Metalloys Pvt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INDIA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CID003382</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Chimet S.p.A.</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ITALY</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CID000233</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Chugai Mining</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CID000264</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Coimpa Industrial LTDA</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CID004010</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Daye Non-Ferrous Metals</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CID000343</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Mining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Degussa Sonne / Mond</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GERMANY</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CID002867</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Goldhandel GmbH</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Dijllah Gold Refinery FZC</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UNITED ARAB EMIRATES</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CID003348</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Dongwu Gold Group</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CID003663</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Dowa Metals &amp; Mining Co.</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CID000401</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DSC (Do Sung Corporation)</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KOREA, REPUBLIC OF</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CID000359</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Eco-System Recycling Co.,</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CID000425</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Ltd. East Plant</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Eco-System Recycling Co.,</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CID003424</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Ltd. North Plant</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Eco-System Recycling Co.,</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CID003425</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Ltd. West Plant</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Elite Industech Co.,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TAIWAN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CID004755</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Emerald Jewel Industry India</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INDIA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CID003487</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Limited (Unit 1)</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Emerald Jewel Industry India</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INDIA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CID003488</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Limited (Unit 2)</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Emerald Jewel Industry India</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INDIA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CID003489</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Limited (Unit 3)</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Emerald Jewel Industry India</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INDIA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CID003490</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Limited (Unit 4)</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Emirates Gold DMCC</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UNITED ARAB EMIRATES</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CID002561</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582" w:gutter="0" w:footer="0" w:header="0"/>
        </w:sectPr>
      </w:pPr>
    </w:p>
    <w:bookmarkStart w:id="11" w:name="page12"/>
    <w:bookmarkEnd w:id="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2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3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Smelter Facility Name</w:t>
            </w:r>
          </w:p>
        </w:tc>
        <w:tc>
          <w:tcPr>
            <w:tcW w:w="22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34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Fidelity Printers and Refiners</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ZIMBABWE</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CID002515</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Fujairah Gold FZC</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UNITED ARAB EMIRATES</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CID002584</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Gasabo Gold Refinery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RWANDA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CID005006</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GG Refinery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TANZANIA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CID004506</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GGC Gujrat Gold Centre Pvt.</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INDIA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CID002852</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Glencore Canada Corporation</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CANDADA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CID000185</w:t>
            </w: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CCR Refinery</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234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Gold by Gold Colombia</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COLOMBIA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CID003641</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Gold Coast Refinery</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GHANA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CID003186</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Gold Corporation - The Perth</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AUSTRALIA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CID002030</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Mint</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Great Wall Precious Metals</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CID001909</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Co., Ltd. of CBPM</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Hangzhou Fuchunjiang</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CID000671</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Smelting Co.,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Heimerle + Meule GmbH</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GERMANY</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CID000694</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Heraeus Germany GmbH Co.</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GERMANY</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CID000711</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KG</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Heraeus Metals Hong Kong</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CID000707</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Hunan Chenzhou Mining Co.,</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CID000767</w:t>
            </w: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Ltd.</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234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Hunan Guiyang yinxing</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CID000773</w:t>
            </w: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vMerge w:val="continue"/>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Nonferrous Smelting Co., Ltd.</w:t>
            </w:r>
          </w:p>
        </w:tc>
        <w:tc>
          <w:tcPr>
            <w:tcW w:w="2240" w:type="dxa"/>
            <w:vAlign w:val="bottom"/>
            <w:tcBorders>
              <w:right w:val="single" w:sz="8" w:color="auto"/>
            </w:tcBorders>
            <w:vMerge w:val="continue"/>
          </w:tcPr>
          <w:p>
            <w:pPr>
              <w:spacing w:after="0"/>
              <w:rPr>
                <w:sz w:val="20"/>
                <w:szCs w:val="20"/>
                <w:color w:val="auto"/>
              </w:rPr>
            </w:pPr>
          </w:p>
        </w:tc>
        <w:tc>
          <w:tcPr>
            <w:tcW w:w="340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HwaSeong CJ CO.,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KOREA, REPUBLIC OF</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CID000778</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Impala Platinum – Platinum</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SOUTH AFRICA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CID004714</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Metals Refinery (PMR)</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Inner Mongolia Qiankun Gold</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and Silver Refinery Share Co.,</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CID000801</w:t>
            </w: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Ltd.</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280" w:type="dxa"/>
            <w:vAlign w:val="bottom"/>
            <w:tcBorders>
              <w:left w:val="single" w:sz="8" w:color="auto"/>
              <w:bottom w:val="single" w:sz="8" w:color="auto"/>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34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International Precious Metal</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w w:val="99"/>
              </w:rPr>
              <w:t>UNITED ARAB EMIRATES</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CID002562</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Refiners</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Ishifuku Metal Industry Co.,</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CID000807</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7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60"/>
          </w:cols>
          <w:pgMar w:left="320" w:top="1440" w:right="319" w:bottom="754" w:gutter="0" w:footer="0" w:header="0"/>
          <w:type w:val="continuous"/>
        </w:sectPr>
      </w:pPr>
    </w:p>
    <w:bookmarkStart w:id="13" w:name="page14"/>
    <w:bookmarkEnd w:id="1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2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3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Smelter Facility Name</w:t>
            </w:r>
          </w:p>
        </w:tc>
        <w:tc>
          <w:tcPr>
            <w:tcW w:w="22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34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Istanbul Gold Refinery</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TURKEY</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CID000814</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Italpreziosi</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ITALY</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CID002765</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JALAN &amp; Company</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INDIA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CID002893</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Japan Mint</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CID000823</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Jiangxi Copper Co.,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CID000855</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JSC Ekaterinburg Non-Ferrous</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CID000927</w:t>
            </w: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Metal Processing Plant</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234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JSC Novosibirsk Refinery</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CID000493</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JSC Uralelectromed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CID000929</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JX Advanced Metals</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CID000937</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Corporation</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K.A. Rasmussen</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NORWAY</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CID003497</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Kazakhmys Smelting LLC</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KAZAKHSTAN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CID000956</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Kazzinc</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KAZAKHSTAN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CID000957</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 OF</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CID000969</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AMERICA</w:t>
            </w: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KGHM Polska Miedz S.A.</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POLAND</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CID005401</w:t>
            </w: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vMerge w:val="continue"/>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Oddzial Huta Miedzi, Glogow</w:t>
            </w:r>
          </w:p>
        </w:tc>
        <w:tc>
          <w:tcPr>
            <w:tcW w:w="2240" w:type="dxa"/>
            <w:vAlign w:val="bottom"/>
            <w:tcBorders>
              <w:right w:val="single" w:sz="8" w:color="auto"/>
            </w:tcBorders>
            <w:vMerge w:val="continue"/>
          </w:tcPr>
          <w:p>
            <w:pPr>
              <w:spacing w:after="0"/>
              <w:rPr>
                <w:sz w:val="20"/>
                <w:szCs w:val="20"/>
                <w:color w:val="auto"/>
              </w:rPr>
            </w:pPr>
          </w:p>
        </w:tc>
        <w:tc>
          <w:tcPr>
            <w:tcW w:w="340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KGHM Polska Miedz Spolka</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POLAND</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CID002511</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Akcyjna</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Kojima Chemicals Co.,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CID000981</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Korea Zinc Co.,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KOREA, REPUBLIC OF</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CID002605</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Kundan Care Products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INDIA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CID003463</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Kyrgyzaltyn JSC</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KYRGYZSTAN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CID001029</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Kyshtym Copper-Electrolytic</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CID002865</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Plant ZAO</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Lingbao Gold Co.,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CID001056</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L'Orfebre S.A.</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ANDORRA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CID002762</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LS MnM Inc.</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KOREA, REPUBLIC OF</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CID001078</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60"/>
          </w:cols>
          <w:pgMar w:left="320" w:top="1440" w:right="319" w:bottom="1440" w:gutter="0" w:footer="0" w:header="0"/>
          <w:type w:val="continuous"/>
        </w:sectPr>
      </w:pPr>
    </w:p>
    <w:bookmarkStart w:id="14" w:name="page15"/>
    <w:bookmarkEnd w:id="1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2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3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Smelter Facility Name</w:t>
            </w:r>
          </w:p>
        </w:tc>
        <w:tc>
          <w:tcPr>
            <w:tcW w:w="22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34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LT Metal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KOREA, REPUBLIC OF</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CID000689</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Luoyang Zijin Yinhui Gold</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CID001093</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Refinery Co.,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Marsam Metals</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CID002606</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Materion</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 OF</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CID001113</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AMERICA</w:t>
            </w: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Matsuda Sangyo Co.,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CID001119</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MD Overseas</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INDIA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CID003548</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Metal Concentrators SA (Pty)</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SOUTH AFRICA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CID003575</w:t>
            </w: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Ltd.</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234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Metallix Refining Inc.</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 OF</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CID003557</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AMERICA</w:t>
            </w: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Metalor Technologies (Hong</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CID001149</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Kong)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Metalor Technologies</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SINGAPORE</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CID001152</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(Singapore) Pte.,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Metalor Technologies</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CID001147</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(Suzhou)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Metalor Technologies S.A.</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SWITZERLAND</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CID001153</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Metalor USA Refining</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 OF</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CID001157</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Corporation</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AMERICA</w:t>
            </w: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Metalurgica Met-Mex Penoles</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MEXICO</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CID001161</w:t>
            </w: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 De C.V.</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234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Minera Titan del Peru SRL</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PERU</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CID005014</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(MTP) – Belen Plant</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Mitsubishi Materials</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CID001188</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Corporation</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Mitsui Mining and Smelting</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CID001193</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Co.,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MKS PAMP SA</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SWITZERLAND</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CID001352</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MMTC-PAMP India Pvt.,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INDIA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CID002509</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Modeltech Sdn Bhd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MALAYSIA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CID002857</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Morris and Watson</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NEW ZEALAND</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CID002282</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Moscow Special Alloys</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CID001204</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Processing Plant</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Nadir Metal Rafineri San. Ve</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TURKEY</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CID001220</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Tic. A.S.</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60"/>
          </w:cols>
          <w:pgMar w:left="320" w:top="1440" w:right="319" w:bottom="96" w:gutter="0" w:footer="0" w:header="0"/>
          <w:type w:val="continuous"/>
        </w:sectPr>
      </w:pPr>
    </w:p>
    <w:bookmarkStart w:id="15" w:name="page16"/>
    <w:bookmarkEnd w:id="1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2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3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Smelter Facility Name</w:t>
            </w:r>
          </w:p>
        </w:tc>
        <w:tc>
          <w:tcPr>
            <w:tcW w:w="22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34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Navoi Mining and</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UZBEKISTAN</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CID001236</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Metallurgical Combinat</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NH Recytech Company</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KOREA, REPUBLIC OF</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CID003189</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Nihon Material Co.,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CID001259</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Noble Metal Services</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 OF</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CID003690</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AMERICA</w:t>
            </w: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Ogussa Osterreichische Gold-</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und Silber-Scheideanstalt</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AUSTRIA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CID002779</w:t>
            </w: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GmbH</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280" w:type="dxa"/>
            <w:vAlign w:val="bottom"/>
            <w:tcBorders>
              <w:left w:val="single" w:sz="8" w:color="auto"/>
              <w:bottom w:val="single" w:sz="8" w:color="auto"/>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34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Ohura Precious Metal Industry</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CID001325</w:t>
            </w: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 Ltd.</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234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OJSC "The Gulidov</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Krasnoyarsk Non-Ferrous</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CID001326</w:t>
            </w:r>
          </w:p>
        </w:tc>
        <w:tc>
          <w:tcPr>
            <w:tcW w:w="0" w:type="dxa"/>
            <w:vAlign w:val="bottom"/>
          </w:tcPr>
          <w:p>
            <w:pPr>
              <w:spacing w:after="0"/>
              <w:rPr>
                <w:sz w:val="1"/>
                <w:szCs w:val="1"/>
                <w:color w:val="auto"/>
              </w:rPr>
            </w:pPr>
          </w:p>
        </w:tc>
      </w:tr>
      <w:tr>
        <w:trPr>
          <w:trHeight w:val="126"/>
        </w:trPr>
        <w:tc>
          <w:tcPr>
            <w:tcW w:w="3280" w:type="dxa"/>
            <w:vAlign w:val="bottom"/>
            <w:tcBorders>
              <w:left w:val="single" w:sz="8" w:color="auto"/>
              <w:right w:val="single" w:sz="8" w:color="auto"/>
            </w:tcBorders>
            <w:vMerge w:val="continue"/>
          </w:tcPr>
          <w:p>
            <w:pPr>
              <w:spacing w:after="0"/>
              <w:rPr>
                <w:sz w:val="10"/>
                <w:szCs w:val="10"/>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Metals Plant" (OJSC</w:t>
            </w:r>
          </w:p>
        </w:tc>
        <w:tc>
          <w:tcPr>
            <w:tcW w:w="2240" w:type="dxa"/>
            <w:vAlign w:val="bottom"/>
            <w:tcBorders>
              <w:right w:val="single" w:sz="8" w:color="auto"/>
            </w:tcBorders>
            <w:vMerge w:val="continue"/>
          </w:tcPr>
          <w:p>
            <w:pPr>
              <w:spacing w:after="0"/>
              <w:rPr>
                <w:sz w:val="10"/>
                <w:szCs w:val="10"/>
                <w:color w:val="auto"/>
              </w:rPr>
            </w:pPr>
          </w:p>
        </w:tc>
        <w:tc>
          <w:tcPr>
            <w:tcW w:w="3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280" w:type="dxa"/>
            <w:vAlign w:val="bottom"/>
            <w:tcBorders>
              <w:left w:val="single" w:sz="8" w:color="auto"/>
              <w:right w:val="single" w:sz="8" w:color="auto"/>
            </w:tcBorders>
          </w:tcPr>
          <w:p>
            <w:pPr>
              <w:spacing w:after="0"/>
              <w:rPr>
                <w:sz w:val="8"/>
                <w:szCs w:val="8"/>
                <w:color w:val="auto"/>
              </w:rPr>
            </w:pPr>
          </w:p>
        </w:tc>
        <w:tc>
          <w:tcPr>
            <w:tcW w:w="2340" w:type="dxa"/>
            <w:vAlign w:val="bottom"/>
            <w:tcBorders>
              <w:right w:val="single" w:sz="8" w:color="auto"/>
            </w:tcBorders>
            <w:vMerge w:val="continue"/>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3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Krastsvetmet)</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Pease &amp; Curren</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 OF</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CID002872</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AMERICA</w:t>
            </w: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Penglai Penggang Gold</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CID001362</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Industry Co.,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Planta Recuperadora de</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CHILE</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CID002919</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Metales SpA</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Prioksky Plant of Non-Ferrous</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CID001386</w:t>
            </w: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Metals</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234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Aneka Tambang (Persero)</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CID001397</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Tbk</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PX Precinox S.A.</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SWITZERLAND</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CID001498</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QG Refining, LLC</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 OF</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CID003324</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AMERICA</w:t>
            </w: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Rand Refinery (Pty)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SOUTH AFRICA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CID001512</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Remondis PMR B.V.</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NETHERLANDS</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CID002582</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Royal Canadian Mint</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CANADA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CID001534</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SAAMP</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FRANCE</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CID002761</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Sabin Metal Corp.</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 OF</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CID001546</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AMERICA</w:t>
            </w: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60"/>
          </w:cols>
          <w:pgMar w:left="320" w:top="1440" w:right="319" w:bottom="1440" w:gutter="0" w:footer="0" w:header="0"/>
          <w:type w:val="continuous"/>
        </w:sectPr>
      </w:pPr>
    </w:p>
    <w:bookmarkStart w:id="16" w:name="page17"/>
    <w:bookmarkEnd w:id="1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2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3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Smelter Facility Name</w:t>
            </w:r>
          </w:p>
        </w:tc>
        <w:tc>
          <w:tcPr>
            <w:tcW w:w="22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34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Safimet S.p.A.</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ITALY</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CID002973</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SAFINA A.S.</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CZECHIA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CID002290</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SAM Precious Metals FZ-</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w w:val="99"/>
              </w:rPr>
              <w:t>UNITED ARAB EMIRATES</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CID003666</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LLC</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Samduck Precious Metals</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KOREA, REPUBLIC OF</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CID001555</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Samwon Metals Corp.</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KOREA, REPUBLIC OF</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CID001562</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SPAIN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CID001585</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Shandong Gold Smelting Co.,</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CID001916</w:t>
            </w: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Ltd.</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234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Shandong Humon Smelting</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CID002525</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Co.,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Shandong Tiancheng</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Biological Gold Industrial</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CID001619</w:t>
            </w:r>
          </w:p>
        </w:tc>
        <w:tc>
          <w:tcPr>
            <w:tcW w:w="0" w:type="dxa"/>
            <w:vAlign w:val="bottom"/>
          </w:tcPr>
          <w:p>
            <w:pPr>
              <w:spacing w:after="0"/>
              <w:rPr>
                <w:sz w:val="1"/>
                <w:szCs w:val="1"/>
                <w:color w:val="auto"/>
              </w:rPr>
            </w:pPr>
          </w:p>
        </w:tc>
      </w:tr>
      <w:tr>
        <w:trPr>
          <w:trHeight w:val="68"/>
        </w:trPr>
        <w:tc>
          <w:tcPr>
            <w:tcW w:w="3280" w:type="dxa"/>
            <w:vAlign w:val="bottom"/>
            <w:tcBorders>
              <w:left w:val="single" w:sz="8" w:color="auto"/>
              <w:right w:val="single" w:sz="8" w:color="auto"/>
            </w:tcBorders>
            <w:vMerge w:val="continue"/>
          </w:tcPr>
          <w:p>
            <w:pPr>
              <w:spacing w:after="0"/>
              <w:rPr>
                <w:sz w:val="5"/>
                <w:szCs w:val="5"/>
                <w:color w:val="auto"/>
              </w:rPr>
            </w:pPr>
          </w:p>
        </w:tc>
        <w:tc>
          <w:tcPr>
            <w:tcW w:w="2340" w:type="dxa"/>
            <w:vAlign w:val="bottom"/>
            <w:tcBorders>
              <w:right w:val="single" w:sz="8" w:color="auto"/>
            </w:tcBorders>
          </w:tcPr>
          <w:p>
            <w:pPr>
              <w:spacing w:after="0"/>
              <w:rPr>
                <w:sz w:val="5"/>
                <w:szCs w:val="5"/>
                <w:color w:val="auto"/>
              </w:rPr>
            </w:pPr>
          </w:p>
        </w:tc>
        <w:tc>
          <w:tcPr>
            <w:tcW w:w="2240" w:type="dxa"/>
            <w:vAlign w:val="bottom"/>
            <w:tcBorders>
              <w:right w:val="single" w:sz="8" w:color="auto"/>
            </w:tcBorders>
            <w:vMerge w:val="continue"/>
          </w:tcPr>
          <w:p>
            <w:pPr>
              <w:spacing w:after="0"/>
              <w:rPr>
                <w:sz w:val="5"/>
                <w:szCs w:val="5"/>
                <w:color w:val="auto"/>
              </w:rPr>
            </w:pPr>
          </w:p>
        </w:tc>
        <w:tc>
          <w:tcPr>
            <w:tcW w:w="3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3280" w:type="dxa"/>
            <w:vAlign w:val="bottom"/>
            <w:tcBorders>
              <w:left w:val="single" w:sz="8" w:color="auto"/>
              <w:right w:val="single" w:sz="8" w:color="auto"/>
            </w:tcBorders>
          </w:tcPr>
          <w:p>
            <w:pPr>
              <w:spacing w:after="0"/>
              <w:rPr>
                <w:sz w:val="24"/>
                <w:szCs w:val="24"/>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 Ltd.</w:t>
            </w:r>
          </w:p>
        </w:tc>
        <w:tc>
          <w:tcPr>
            <w:tcW w:w="2240" w:type="dxa"/>
            <w:vAlign w:val="bottom"/>
            <w:tcBorders>
              <w:right w:val="single" w:sz="8" w:color="auto"/>
            </w:tcBorders>
          </w:tcPr>
          <w:p>
            <w:pPr>
              <w:spacing w:after="0"/>
              <w:rPr>
                <w:sz w:val="24"/>
                <w:szCs w:val="24"/>
                <w:color w:val="auto"/>
              </w:rPr>
            </w:pPr>
          </w:p>
        </w:tc>
        <w:tc>
          <w:tcPr>
            <w:tcW w:w="3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Shandong Zhaojin Gold &amp;</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CID001622</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Silver Refinery Co.,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Shenzhen CuiLu Gold Co.,</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CID002750</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Shenzhen Jinjunwei Resource</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Comprehensive Development</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CID004435</w:t>
            </w: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 Ltd.</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280" w:type="dxa"/>
            <w:vAlign w:val="bottom"/>
            <w:tcBorders>
              <w:left w:val="single" w:sz="8" w:color="auto"/>
              <w:bottom w:val="single" w:sz="8" w:color="auto"/>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34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Shenzhen Zhonghenglong</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CID002527</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Real Industry Co.,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Shirpur Gold Refinery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INDIA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CID002588</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Sichuan Tianze Precious</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CID001736</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Metals Co.,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Singway Technology Co.,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TAIWAN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CID002516</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SOE Shyolkovsky Factory of</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CID001756</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Secondary Precious Metals</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Solar Applied Materials</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TAIWAN</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CID001761</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Technology Corp.</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60"/>
          </w:cols>
          <w:pgMar w:left="320" w:top="1440" w:right="319" w:bottom="1440" w:gutter="0" w:footer="0" w:header="0"/>
          <w:type w:val="continuous"/>
        </w:sectPr>
      </w:pPr>
    </w:p>
    <w:bookmarkStart w:id="17" w:name="page18"/>
    <w:bookmarkEnd w:id="1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2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3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Smelter Facility Name</w:t>
            </w:r>
          </w:p>
        </w:tc>
        <w:tc>
          <w:tcPr>
            <w:tcW w:w="22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34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Sovereign Metals</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INDIA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CID003383</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State Research Institute Center</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for Physical Sciences and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LITHUANIA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CID003153</w:t>
            </w: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Technology</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280" w:type="dxa"/>
            <w:vAlign w:val="bottom"/>
            <w:tcBorders>
              <w:left w:val="single" w:sz="8" w:color="auto"/>
              <w:bottom w:val="single" w:sz="8" w:color="auto"/>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34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Sumitomo Metal Minin Co.,</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CID001798</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SungEel HiMetal Co.,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KOREA, REPUBLIC OF</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CID002918</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Super Dragon Technology</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TAIWAN</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CID001810</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Co.,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T.C.A S.p.A</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ITALY</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CID002580</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Tanaka Kikinzoku Kogyo</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CID001875</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K.K.</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TITAN COMPANY</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LIMITED, JEWELLERY</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INDIA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CID004491</w:t>
            </w: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DIVISION</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280" w:type="dxa"/>
            <w:vAlign w:val="bottom"/>
            <w:tcBorders>
              <w:left w:val="single" w:sz="8" w:color="auto"/>
              <w:bottom w:val="single" w:sz="8" w:color="auto"/>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34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Tokuriki Honten Co.,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CID001938</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Tongling Nonferrous Metals</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CID001947</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Group Co.,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TOO Tau-Ken-Altyn</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KAZAKHSTAN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CID002615</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Torecom</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KOREA, REPUBLIC OF</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CID001955</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Umicore Precious Metals</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THAILAND</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CID002314</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Thailand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Umicore S.A. Business Unit</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Precious Metals</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BELGIUM</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CID001980</w:t>
            </w:r>
          </w:p>
        </w:tc>
        <w:tc>
          <w:tcPr>
            <w:tcW w:w="0" w:type="dxa"/>
            <w:vAlign w:val="bottom"/>
          </w:tcPr>
          <w:p>
            <w:pPr>
              <w:spacing w:after="0"/>
              <w:rPr>
                <w:sz w:val="1"/>
                <w:szCs w:val="1"/>
                <w:color w:val="auto"/>
              </w:rPr>
            </w:pPr>
          </w:p>
        </w:tc>
      </w:tr>
      <w:tr>
        <w:trPr>
          <w:trHeight w:val="68"/>
        </w:trPr>
        <w:tc>
          <w:tcPr>
            <w:tcW w:w="3280" w:type="dxa"/>
            <w:vAlign w:val="bottom"/>
            <w:tcBorders>
              <w:left w:val="single" w:sz="8" w:color="auto"/>
              <w:right w:val="single" w:sz="8" w:color="auto"/>
            </w:tcBorders>
            <w:vMerge w:val="continue"/>
          </w:tcPr>
          <w:p>
            <w:pPr>
              <w:spacing w:after="0"/>
              <w:rPr>
                <w:sz w:val="5"/>
                <w:szCs w:val="5"/>
                <w:color w:val="auto"/>
              </w:rPr>
            </w:pPr>
          </w:p>
        </w:tc>
        <w:tc>
          <w:tcPr>
            <w:tcW w:w="2340" w:type="dxa"/>
            <w:vAlign w:val="bottom"/>
            <w:tcBorders>
              <w:right w:val="single" w:sz="8" w:color="auto"/>
            </w:tcBorders>
          </w:tcPr>
          <w:p>
            <w:pPr>
              <w:spacing w:after="0"/>
              <w:rPr>
                <w:sz w:val="5"/>
                <w:szCs w:val="5"/>
                <w:color w:val="auto"/>
              </w:rPr>
            </w:pPr>
          </w:p>
        </w:tc>
        <w:tc>
          <w:tcPr>
            <w:tcW w:w="2240" w:type="dxa"/>
            <w:vAlign w:val="bottom"/>
            <w:tcBorders>
              <w:right w:val="single" w:sz="8" w:color="auto"/>
            </w:tcBorders>
            <w:vMerge w:val="continue"/>
          </w:tcPr>
          <w:p>
            <w:pPr>
              <w:spacing w:after="0"/>
              <w:rPr>
                <w:sz w:val="5"/>
                <w:szCs w:val="5"/>
                <w:color w:val="auto"/>
              </w:rPr>
            </w:pPr>
          </w:p>
        </w:tc>
        <w:tc>
          <w:tcPr>
            <w:tcW w:w="3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3280" w:type="dxa"/>
            <w:vAlign w:val="bottom"/>
            <w:tcBorders>
              <w:left w:val="single" w:sz="8" w:color="auto"/>
              <w:right w:val="single" w:sz="8" w:color="auto"/>
            </w:tcBorders>
          </w:tcPr>
          <w:p>
            <w:pPr>
              <w:spacing w:after="0"/>
              <w:rPr>
                <w:sz w:val="24"/>
                <w:szCs w:val="24"/>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Refining</w:t>
            </w:r>
          </w:p>
        </w:tc>
        <w:tc>
          <w:tcPr>
            <w:tcW w:w="2240" w:type="dxa"/>
            <w:vAlign w:val="bottom"/>
            <w:tcBorders>
              <w:right w:val="single" w:sz="8" w:color="auto"/>
            </w:tcBorders>
          </w:tcPr>
          <w:p>
            <w:pPr>
              <w:spacing w:after="0"/>
              <w:rPr>
                <w:sz w:val="24"/>
                <w:szCs w:val="24"/>
                <w:color w:val="auto"/>
              </w:rPr>
            </w:pPr>
          </w:p>
        </w:tc>
        <w:tc>
          <w:tcPr>
            <w:tcW w:w="3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Precious Metal</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 OF</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CID001993</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Refining, Inc.</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AMERICA</w:t>
            </w: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Valcambi S.A.</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SWITZERLAND</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CID002003</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WEEEREFINING</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FRANCE</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CID003615</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Western Australian Mint (T/a</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AUSTRALIA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CID002030</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The Perth Mint)</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WIELAND Edelmetalle</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GERMANY</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CID002778</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GmbH</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Yamakin Co.,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CID002100</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Yokohama Metal Co.,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CID002129</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8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60"/>
          </w:cols>
          <w:pgMar w:left="320" w:top="1440" w:right="319" w:bottom="825" w:gutter="0" w:footer="0" w:header="0"/>
          <w:type w:val="continuous"/>
        </w:sectPr>
      </w:pPr>
    </w:p>
    <w:bookmarkStart w:id="18" w:name="page19"/>
    <w:bookmarkEnd w:id="18"/>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7340600</wp:posOffset>
            </wp:positionH>
            <wp:positionV relativeFrom="page">
              <wp:posOffset>929005</wp:posOffset>
            </wp:positionV>
            <wp:extent cx="8890" cy="7260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72605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929005</wp:posOffset>
            </wp:positionV>
            <wp:extent cx="8890" cy="7260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72605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7"/>
        </w:trPr>
        <w:tc>
          <w:tcPr>
            <w:tcW w:w="32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3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Smelter Facility Name</w:t>
            </w:r>
          </w:p>
        </w:tc>
        <w:tc>
          <w:tcPr>
            <w:tcW w:w="22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34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0" w:type="dxa"/>
            <w:vAlign w:val="bottom"/>
          </w:tcPr>
          <w:p>
            <w:pPr>
              <w:spacing w:after="0"/>
              <w:rPr>
                <w:sz w:val="1"/>
                <w:szCs w:val="1"/>
                <w:color w:val="auto"/>
              </w:rPr>
            </w:pPr>
          </w:p>
        </w:tc>
      </w:tr>
      <w:tr>
        <w:trPr>
          <w:trHeight w:val="175"/>
        </w:trPr>
        <w:tc>
          <w:tcPr>
            <w:tcW w:w="32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Yunnan Copper Industry Co.,</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CID000197</w:t>
            </w:r>
          </w:p>
        </w:tc>
        <w:tc>
          <w:tcPr>
            <w:tcW w:w="0" w:type="dxa"/>
            <w:vAlign w:val="bottom"/>
          </w:tcPr>
          <w:p>
            <w:pPr>
              <w:spacing w:after="0"/>
              <w:rPr>
                <w:sz w:val="1"/>
                <w:szCs w:val="1"/>
                <w:color w:val="auto"/>
              </w:rPr>
            </w:pPr>
          </w:p>
        </w:tc>
      </w:tr>
      <w:tr>
        <w:trPr>
          <w:trHeight w:val="234"/>
        </w:trPr>
        <w:tc>
          <w:tcPr>
            <w:tcW w:w="3280" w:type="dxa"/>
            <w:vAlign w:val="bottom"/>
            <w:tcBorders>
              <w:right w:val="single" w:sz="8" w:color="auto"/>
            </w:tcBorders>
            <w:vMerge w:val="continue"/>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Ltd. Southwest Copper Branch</w:t>
            </w:r>
          </w:p>
        </w:tc>
        <w:tc>
          <w:tcPr>
            <w:tcW w:w="2240" w:type="dxa"/>
            <w:vAlign w:val="bottom"/>
            <w:tcBorders>
              <w:right w:val="single" w:sz="8" w:color="auto"/>
            </w:tcBorders>
            <w:vMerge w:val="continue"/>
          </w:tcPr>
          <w:p>
            <w:pPr>
              <w:spacing w:after="0"/>
              <w:rPr>
                <w:sz w:val="20"/>
                <w:szCs w:val="20"/>
                <w:color w:val="auto"/>
              </w:rPr>
            </w:pPr>
          </w:p>
        </w:tc>
        <w:tc>
          <w:tcPr>
            <w:tcW w:w="34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2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Zhongyuan Gold Smelter of</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CID002224</w:t>
            </w:r>
          </w:p>
        </w:tc>
        <w:tc>
          <w:tcPr>
            <w:tcW w:w="0" w:type="dxa"/>
            <w:vAlign w:val="bottom"/>
          </w:tcPr>
          <w:p>
            <w:pPr>
              <w:spacing w:after="0"/>
              <w:rPr>
                <w:sz w:val="1"/>
                <w:szCs w:val="1"/>
                <w:color w:val="auto"/>
              </w:rPr>
            </w:pPr>
          </w:p>
        </w:tc>
      </w:tr>
      <w:tr>
        <w:trPr>
          <w:trHeight w:val="113"/>
        </w:trPr>
        <w:tc>
          <w:tcPr>
            <w:tcW w:w="3280" w:type="dxa"/>
            <w:vAlign w:val="bottom"/>
            <w:tcBorders>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Zhongjin Gold Corporation</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Zijin Mining Group Gold</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CID002243</w:t>
            </w:r>
          </w:p>
        </w:tc>
        <w:tc>
          <w:tcPr>
            <w:tcW w:w="0" w:type="dxa"/>
            <w:vAlign w:val="bottom"/>
          </w:tcPr>
          <w:p>
            <w:pPr>
              <w:spacing w:after="0"/>
              <w:rPr>
                <w:sz w:val="1"/>
                <w:szCs w:val="1"/>
                <w:color w:val="auto"/>
              </w:rPr>
            </w:pPr>
          </w:p>
        </w:tc>
      </w:tr>
      <w:tr>
        <w:trPr>
          <w:trHeight w:val="113"/>
        </w:trPr>
        <w:tc>
          <w:tcPr>
            <w:tcW w:w="3280" w:type="dxa"/>
            <w:vAlign w:val="bottom"/>
            <w:tcBorders>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Smelting Co.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Tantalum</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2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3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5D Production OU</w:t>
            </w:r>
          </w:p>
        </w:tc>
        <w:tc>
          <w:tcPr>
            <w:tcW w:w="22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ESTONIA</w:t>
            </w:r>
          </w:p>
        </w:tc>
        <w:tc>
          <w:tcPr>
            <w:tcW w:w="34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CID003926</w:t>
            </w:r>
          </w:p>
        </w:tc>
        <w:tc>
          <w:tcPr>
            <w:tcW w:w="0" w:type="dxa"/>
            <w:vAlign w:val="bottom"/>
          </w:tcPr>
          <w:p>
            <w:pPr>
              <w:spacing w:after="0"/>
              <w:rPr>
                <w:sz w:val="1"/>
                <w:szCs w:val="1"/>
                <w:color w:val="auto"/>
              </w:rPr>
            </w:pPr>
          </w:p>
        </w:tc>
      </w:tr>
      <w:tr>
        <w:trPr>
          <w:trHeight w:val="176"/>
        </w:trPr>
        <w:tc>
          <w:tcPr>
            <w:tcW w:w="32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AMG Brasil</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34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CID001076</w:t>
            </w:r>
          </w:p>
        </w:tc>
        <w:tc>
          <w:tcPr>
            <w:tcW w:w="0" w:type="dxa"/>
            <w:vAlign w:val="bottom"/>
          </w:tcPr>
          <w:p>
            <w:pPr>
              <w:spacing w:after="0"/>
              <w:rPr>
                <w:sz w:val="1"/>
                <w:szCs w:val="1"/>
                <w:color w:val="auto"/>
              </w:rPr>
            </w:pPr>
          </w:p>
        </w:tc>
      </w:tr>
      <w:tr>
        <w:trPr>
          <w:trHeight w:val="68"/>
        </w:trPr>
        <w:tc>
          <w:tcPr>
            <w:tcW w:w="3280" w:type="dxa"/>
            <w:vAlign w:val="bottom"/>
            <w:tcBorders>
              <w:right w:val="single" w:sz="8" w:color="auto"/>
            </w:tcBorders>
          </w:tcPr>
          <w:p>
            <w:pPr>
              <w:spacing w:after="0"/>
              <w:rPr>
                <w:sz w:val="5"/>
                <w:szCs w:val="5"/>
                <w:color w:val="auto"/>
              </w:rPr>
            </w:pPr>
          </w:p>
        </w:tc>
        <w:tc>
          <w:tcPr>
            <w:tcW w:w="2340" w:type="dxa"/>
            <w:vAlign w:val="bottom"/>
            <w:tcBorders>
              <w:right w:val="single" w:sz="8" w:color="auto"/>
            </w:tcBorders>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3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3280" w:type="dxa"/>
            <w:vAlign w:val="bottom"/>
            <w:tcBorders>
              <w:bottom w:val="single" w:sz="8" w:color="auto"/>
              <w:right w:val="single" w:sz="8" w:color="auto"/>
            </w:tcBorders>
          </w:tcPr>
          <w:p>
            <w:pPr>
              <w:spacing w:after="0"/>
              <w:rPr>
                <w:sz w:val="9"/>
                <w:szCs w:val="9"/>
                <w:color w:val="auto"/>
              </w:rPr>
            </w:pPr>
          </w:p>
        </w:tc>
        <w:tc>
          <w:tcPr>
            <w:tcW w:w="2340" w:type="dxa"/>
            <w:vAlign w:val="bottom"/>
            <w:tcBorders>
              <w:bottom w:val="single" w:sz="8" w:color="auto"/>
              <w:right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3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32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D Block Metals, LLC</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 OF</w:t>
            </w:r>
          </w:p>
        </w:tc>
        <w:tc>
          <w:tcPr>
            <w:tcW w:w="34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CID002504</w:t>
            </w:r>
          </w:p>
        </w:tc>
        <w:tc>
          <w:tcPr>
            <w:tcW w:w="0" w:type="dxa"/>
            <w:vAlign w:val="bottom"/>
          </w:tcPr>
          <w:p>
            <w:pPr>
              <w:spacing w:after="0"/>
              <w:rPr>
                <w:sz w:val="1"/>
                <w:szCs w:val="1"/>
                <w:color w:val="auto"/>
              </w:rPr>
            </w:pPr>
          </w:p>
        </w:tc>
      </w:tr>
      <w:tr>
        <w:trPr>
          <w:trHeight w:val="113"/>
        </w:trPr>
        <w:tc>
          <w:tcPr>
            <w:tcW w:w="3280" w:type="dxa"/>
            <w:vAlign w:val="bottom"/>
            <w:tcBorders>
              <w:right w:val="single" w:sz="8" w:color="auto"/>
            </w:tcBorders>
            <w:vMerge w:val="continue"/>
          </w:tcPr>
          <w:p>
            <w:pPr>
              <w:spacing w:after="0"/>
              <w:rPr>
                <w:sz w:val="9"/>
                <w:szCs w:val="9"/>
                <w:color w:val="auto"/>
              </w:rPr>
            </w:pPr>
          </w:p>
        </w:tc>
        <w:tc>
          <w:tcPr>
            <w:tcW w:w="234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AMERICA</w:t>
            </w:r>
          </w:p>
        </w:tc>
        <w:tc>
          <w:tcPr>
            <w:tcW w:w="3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right w:val="single" w:sz="8" w:color="auto"/>
            </w:tcBorders>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3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CID000460</w:t>
            </w:r>
          </w:p>
        </w:tc>
        <w:tc>
          <w:tcPr>
            <w:tcW w:w="0" w:type="dxa"/>
            <w:vAlign w:val="bottom"/>
          </w:tcPr>
          <w:p>
            <w:pPr>
              <w:spacing w:after="0"/>
              <w:rPr>
                <w:sz w:val="1"/>
                <w:szCs w:val="1"/>
                <w:color w:val="auto"/>
              </w:rPr>
            </w:pPr>
          </w:p>
        </w:tc>
      </w:tr>
      <w:tr>
        <w:trPr>
          <w:trHeight w:val="175"/>
        </w:trPr>
        <w:tc>
          <w:tcPr>
            <w:tcW w:w="32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CID002505</w:t>
            </w:r>
          </w:p>
        </w:tc>
        <w:tc>
          <w:tcPr>
            <w:tcW w:w="0" w:type="dxa"/>
            <w:vAlign w:val="bottom"/>
          </w:tcPr>
          <w:p>
            <w:pPr>
              <w:spacing w:after="0"/>
              <w:rPr>
                <w:sz w:val="1"/>
                <w:szCs w:val="1"/>
                <w:color w:val="auto"/>
              </w:rPr>
            </w:pPr>
          </w:p>
        </w:tc>
      </w:tr>
      <w:tr>
        <w:trPr>
          <w:trHeight w:val="175"/>
        </w:trPr>
        <w:tc>
          <w:tcPr>
            <w:tcW w:w="32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CID002558</w:t>
            </w:r>
          </w:p>
        </w:tc>
        <w:tc>
          <w:tcPr>
            <w:tcW w:w="0" w:type="dxa"/>
            <w:vAlign w:val="bottom"/>
          </w:tcPr>
          <w:p>
            <w:pPr>
              <w:spacing w:after="0"/>
              <w:rPr>
                <w:sz w:val="1"/>
                <w:szCs w:val="1"/>
                <w:color w:val="auto"/>
              </w:rPr>
            </w:pPr>
          </w:p>
        </w:tc>
      </w:tr>
      <w:tr>
        <w:trPr>
          <w:trHeight w:val="175"/>
        </w:trPr>
        <w:tc>
          <w:tcPr>
            <w:tcW w:w="32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Global Advanced Metals</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 OF</w:t>
            </w:r>
          </w:p>
        </w:tc>
        <w:tc>
          <w:tcPr>
            <w:tcW w:w="34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CID002557</w:t>
            </w:r>
          </w:p>
        </w:tc>
        <w:tc>
          <w:tcPr>
            <w:tcW w:w="0" w:type="dxa"/>
            <w:vAlign w:val="bottom"/>
          </w:tcPr>
          <w:p>
            <w:pPr>
              <w:spacing w:after="0"/>
              <w:rPr>
                <w:sz w:val="1"/>
                <w:szCs w:val="1"/>
                <w:color w:val="auto"/>
              </w:rPr>
            </w:pPr>
          </w:p>
        </w:tc>
      </w:tr>
      <w:tr>
        <w:trPr>
          <w:trHeight w:val="113"/>
        </w:trPr>
        <w:tc>
          <w:tcPr>
            <w:tcW w:w="3280" w:type="dxa"/>
            <w:vAlign w:val="bottom"/>
            <w:tcBorders>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Boyertown</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AMERICA</w:t>
            </w:r>
          </w:p>
        </w:tc>
        <w:tc>
          <w:tcPr>
            <w:tcW w:w="3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3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Guangdong Rising Rare</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CID000291</w:t>
            </w:r>
          </w:p>
        </w:tc>
        <w:tc>
          <w:tcPr>
            <w:tcW w:w="0" w:type="dxa"/>
            <w:vAlign w:val="bottom"/>
          </w:tcPr>
          <w:p>
            <w:pPr>
              <w:spacing w:after="0"/>
              <w:rPr>
                <w:sz w:val="1"/>
                <w:szCs w:val="1"/>
                <w:color w:val="auto"/>
              </w:rPr>
            </w:pPr>
          </w:p>
        </w:tc>
      </w:tr>
      <w:tr>
        <w:trPr>
          <w:trHeight w:val="113"/>
        </w:trPr>
        <w:tc>
          <w:tcPr>
            <w:tcW w:w="3280" w:type="dxa"/>
            <w:vAlign w:val="bottom"/>
            <w:tcBorders>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Metals-EO Materials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Hengyang King Xing Lifeng</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CID002492</w:t>
            </w:r>
          </w:p>
        </w:tc>
        <w:tc>
          <w:tcPr>
            <w:tcW w:w="0" w:type="dxa"/>
            <w:vAlign w:val="bottom"/>
          </w:tcPr>
          <w:p>
            <w:pPr>
              <w:spacing w:after="0"/>
              <w:rPr>
                <w:sz w:val="1"/>
                <w:szCs w:val="1"/>
                <w:color w:val="auto"/>
              </w:rPr>
            </w:pPr>
          </w:p>
        </w:tc>
      </w:tr>
      <w:tr>
        <w:trPr>
          <w:trHeight w:val="113"/>
        </w:trPr>
        <w:tc>
          <w:tcPr>
            <w:tcW w:w="3280" w:type="dxa"/>
            <w:vAlign w:val="bottom"/>
            <w:tcBorders>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New Materials Co.,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Jiangxi Dinghai Tantalum &amp;</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CID002512</w:t>
            </w:r>
          </w:p>
        </w:tc>
        <w:tc>
          <w:tcPr>
            <w:tcW w:w="0" w:type="dxa"/>
            <w:vAlign w:val="bottom"/>
          </w:tcPr>
          <w:p>
            <w:pPr>
              <w:spacing w:after="0"/>
              <w:rPr>
                <w:sz w:val="1"/>
                <w:szCs w:val="1"/>
                <w:color w:val="auto"/>
              </w:rPr>
            </w:pPr>
          </w:p>
        </w:tc>
      </w:tr>
      <w:tr>
        <w:trPr>
          <w:trHeight w:val="113"/>
        </w:trPr>
        <w:tc>
          <w:tcPr>
            <w:tcW w:w="3280" w:type="dxa"/>
            <w:vAlign w:val="bottom"/>
            <w:tcBorders>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Niobium Co.,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Jiangxi Suns Nonferrous</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CID004813</w:t>
            </w:r>
          </w:p>
        </w:tc>
        <w:tc>
          <w:tcPr>
            <w:tcW w:w="0" w:type="dxa"/>
            <w:vAlign w:val="bottom"/>
          </w:tcPr>
          <w:p>
            <w:pPr>
              <w:spacing w:after="0"/>
              <w:rPr>
                <w:sz w:val="1"/>
                <w:szCs w:val="1"/>
                <w:color w:val="auto"/>
              </w:rPr>
            </w:pPr>
          </w:p>
        </w:tc>
      </w:tr>
      <w:tr>
        <w:trPr>
          <w:trHeight w:val="113"/>
        </w:trPr>
        <w:tc>
          <w:tcPr>
            <w:tcW w:w="3280" w:type="dxa"/>
            <w:vAlign w:val="bottom"/>
            <w:tcBorders>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Materials Co.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Jiangxi Tuohong New Raw</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CID002842</w:t>
            </w:r>
          </w:p>
        </w:tc>
        <w:tc>
          <w:tcPr>
            <w:tcW w:w="0" w:type="dxa"/>
            <w:vAlign w:val="bottom"/>
          </w:tcPr>
          <w:p>
            <w:pPr>
              <w:spacing w:after="0"/>
              <w:rPr>
                <w:sz w:val="1"/>
                <w:szCs w:val="1"/>
                <w:color w:val="auto"/>
              </w:rPr>
            </w:pPr>
          </w:p>
        </w:tc>
      </w:tr>
      <w:tr>
        <w:trPr>
          <w:trHeight w:val="113"/>
        </w:trPr>
        <w:tc>
          <w:tcPr>
            <w:tcW w:w="3280" w:type="dxa"/>
            <w:vAlign w:val="bottom"/>
            <w:tcBorders>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Material</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JiuJiang JinXin Nonferrous</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CID000914</w:t>
            </w:r>
          </w:p>
        </w:tc>
        <w:tc>
          <w:tcPr>
            <w:tcW w:w="0" w:type="dxa"/>
            <w:vAlign w:val="bottom"/>
          </w:tcPr>
          <w:p>
            <w:pPr>
              <w:spacing w:after="0"/>
              <w:rPr>
                <w:sz w:val="1"/>
                <w:szCs w:val="1"/>
                <w:color w:val="auto"/>
              </w:rPr>
            </w:pPr>
          </w:p>
        </w:tc>
      </w:tr>
      <w:tr>
        <w:trPr>
          <w:trHeight w:val="113"/>
        </w:trPr>
        <w:tc>
          <w:tcPr>
            <w:tcW w:w="3280" w:type="dxa"/>
            <w:vAlign w:val="bottom"/>
            <w:tcBorders>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Metals Co.,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Jiujiang Tanbre Co.,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CID000917</w:t>
            </w:r>
          </w:p>
        </w:tc>
        <w:tc>
          <w:tcPr>
            <w:tcW w:w="0" w:type="dxa"/>
            <w:vAlign w:val="bottom"/>
          </w:tcPr>
          <w:p>
            <w:pPr>
              <w:spacing w:after="0"/>
              <w:rPr>
                <w:sz w:val="1"/>
                <w:szCs w:val="1"/>
                <w:color w:val="auto"/>
              </w:rPr>
            </w:pPr>
          </w:p>
        </w:tc>
      </w:tr>
      <w:tr>
        <w:trPr>
          <w:trHeight w:val="175"/>
        </w:trPr>
        <w:tc>
          <w:tcPr>
            <w:tcW w:w="32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3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Jiujiang Zhongao Tantalum &amp;</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CID002506</w:t>
            </w:r>
          </w:p>
        </w:tc>
        <w:tc>
          <w:tcPr>
            <w:tcW w:w="0" w:type="dxa"/>
            <w:vAlign w:val="bottom"/>
          </w:tcPr>
          <w:p>
            <w:pPr>
              <w:spacing w:after="0"/>
              <w:rPr>
                <w:sz w:val="1"/>
                <w:szCs w:val="1"/>
                <w:color w:val="auto"/>
              </w:rPr>
            </w:pPr>
          </w:p>
        </w:tc>
      </w:tr>
      <w:tr>
        <w:trPr>
          <w:trHeight w:val="234"/>
        </w:trPr>
        <w:tc>
          <w:tcPr>
            <w:tcW w:w="3280" w:type="dxa"/>
            <w:vAlign w:val="bottom"/>
            <w:tcBorders>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Niobium Co., Ltd.</w:t>
            </w:r>
          </w:p>
        </w:tc>
        <w:tc>
          <w:tcPr>
            <w:tcW w:w="2240" w:type="dxa"/>
            <w:vAlign w:val="bottom"/>
            <w:tcBorders>
              <w:right w:val="single" w:sz="8" w:color="auto"/>
            </w:tcBorders>
          </w:tcPr>
          <w:p>
            <w:pPr>
              <w:spacing w:after="0"/>
              <w:rPr>
                <w:sz w:val="20"/>
                <w:szCs w:val="20"/>
                <w:color w:val="auto"/>
              </w:rPr>
            </w:pP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3280" w:type="dxa"/>
            <w:vAlign w:val="bottom"/>
            <w:tcBorders>
              <w:bottom w:val="single" w:sz="8" w:color="auto"/>
              <w:right w:val="single" w:sz="8" w:color="auto"/>
            </w:tcBorders>
          </w:tcPr>
          <w:p>
            <w:pPr>
              <w:spacing w:after="0"/>
              <w:rPr>
                <w:sz w:val="10"/>
                <w:szCs w:val="10"/>
                <w:color w:val="auto"/>
              </w:rPr>
            </w:pPr>
          </w:p>
        </w:tc>
        <w:tc>
          <w:tcPr>
            <w:tcW w:w="234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60"/>
          </w:cols>
          <w:pgMar w:left="320" w:top="1440" w:right="319" w:bottom="1440" w:gutter="0" w:footer="0" w:header="0"/>
          <w:type w:val="continuous"/>
        </w:sectPr>
      </w:pPr>
    </w:p>
    <w:bookmarkStart w:id="19" w:name="page20"/>
    <w:bookmarkEnd w:id="1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2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3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Smelter Facility Name</w:t>
            </w:r>
          </w:p>
        </w:tc>
        <w:tc>
          <w:tcPr>
            <w:tcW w:w="22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34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KEMET de Mexico</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MEXICO</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CID002539</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Materion Newton Inc.</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 OF</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CID002548</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AMERICA</w:t>
            </w: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Metallurgical Products India</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INDIA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CID001163</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Pvt.,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Mineracao Taboca S.A.</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CID001175</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Mitsui Mining and Smelting</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CID001192</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Co.,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Ningxia Orient Tantalum</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CID001277</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Industry Co.,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NPM Silmet AS</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ESTONIA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CID001200</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PowerX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RWANDA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CID004054</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Resind Industria e Comercio</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CID002707</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Ltda.</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Solikamsk Magnesium Works</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CID001769</w:t>
            </w: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OAO</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234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Taki Chemical Co.,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CID001869</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TANIOBIS Co.,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THAILAND</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CID002544</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TANIOBIS GmbH</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GERMANY</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CID002545</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TANIOBIS Japan Co.,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CID002549</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TANIOBIS Smelting GmbH</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GERMANY</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CID002550</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&amp; Co. KG</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Telex Metals</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 OF</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CID001891</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AMERICA</w:t>
            </w: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KAZAKHSTAN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CID001969</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XIMEI RESOURCES</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CID000616</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(GUANGDONG) LIMITED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XinXing HaoRong Electronic</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CID002508</w:t>
            </w: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Material Co., Ltd.</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234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Yanling Jincheng Tantalum &amp;</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CID001522</w:t>
            </w: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Niobium Co., Ltd.</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234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328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Tin</w:t>
            </w:r>
          </w:p>
        </w:tc>
        <w:tc>
          <w:tcPr>
            <w:tcW w:w="23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tcBorders>
          </w:tcPr>
          <w:p>
            <w:pPr>
              <w:spacing w:after="0"/>
              <w:rPr>
                <w:sz w:val="15"/>
                <w:szCs w:val="15"/>
                <w:color w:val="auto"/>
              </w:rPr>
            </w:pPr>
          </w:p>
        </w:tc>
        <w:tc>
          <w:tcPr>
            <w:tcW w:w="23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Alpha Assembly Solutions</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 OF</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CID000292</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Inc.</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AMERICA</w:t>
            </w: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 Vinh Joint Stock Mineral</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VIET NAM</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CID002703</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Processing Company</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3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60"/>
          </w:cols>
          <w:pgMar w:left="320" w:top="1440" w:right="319" w:bottom="326" w:gutter="0" w:footer="0" w:header="0"/>
          <w:type w:val="continuous"/>
        </w:sectPr>
      </w:pPr>
    </w:p>
    <w:bookmarkStart w:id="20" w:name="page21"/>
    <w:bookmarkEnd w:id="2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2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3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Smelter Facility Name</w:t>
            </w:r>
          </w:p>
        </w:tc>
        <w:tc>
          <w:tcPr>
            <w:tcW w:w="22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34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Aurubis Beerse</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BELGIUM</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CID002773</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Aurubis Berango</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SPAIN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CID002774</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Chenzhou Yunxiang Mining</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CID000228</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and Metallurgy Co.,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 Tin Group Co.,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CID001070</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Conecsus LLC</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 OF</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CID003504</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AMERICA</w:t>
            </w: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CRM Fundicao De Metais E</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Comercio De Equipamentos</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CID003486</w:t>
            </w: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Eletronicos Do Brasil Ltda</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280" w:type="dxa"/>
            <w:vAlign w:val="bottom"/>
            <w:tcBorders>
              <w:left w:val="single" w:sz="8" w:color="auto"/>
              <w:bottom w:val="single" w:sz="8" w:color="auto"/>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34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CRM Synergies</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SPAIN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CID003524</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CV Ayi Jaya</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CID002570</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Dongguan Best Alloys Co.,</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CID000377</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Dongguan CiEXPO</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Environmental Engineering</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CID003356</w:t>
            </w: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 Ltd.</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280" w:type="dxa"/>
            <w:vAlign w:val="bottom"/>
            <w:tcBorders>
              <w:left w:val="single" w:sz="8" w:color="auto"/>
              <w:bottom w:val="single" w:sz="8" w:color="auto"/>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34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Dowa</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CID000402</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Electro-Mechanical Facility of</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Cao Bang Minerals &amp;</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VIET NAM</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CID002572</w:t>
            </w:r>
          </w:p>
        </w:tc>
        <w:tc>
          <w:tcPr>
            <w:tcW w:w="0" w:type="dxa"/>
            <w:vAlign w:val="bottom"/>
          </w:tcPr>
          <w:p>
            <w:pPr>
              <w:spacing w:after="0"/>
              <w:rPr>
                <w:sz w:val="1"/>
                <w:szCs w:val="1"/>
                <w:color w:val="auto"/>
              </w:rPr>
            </w:pPr>
          </w:p>
        </w:tc>
      </w:tr>
      <w:tr>
        <w:trPr>
          <w:trHeight w:val="126"/>
        </w:trPr>
        <w:tc>
          <w:tcPr>
            <w:tcW w:w="3280" w:type="dxa"/>
            <w:vAlign w:val="bottom"/>
            <w:tcBorders>
              <w:left w:val="single" w:sz="8" w:color="auto"/>
              <w:right w:val="single" w:sz="8" w:color="auto"/>
            </w:tcBorders>
            <w:vMerge w:val="continue"/>
          </w:tcPr>
          <w:p>
            <w:pPr>
              <w:spacing w:after="0"/>
              <w:rPr>
                <w:sz w:val="10"/>
                <w:szCs w:val="10"/>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Metallurgy Joint Stock</w:t>
            </w:r>
          </w:p>
        </w:tc>
        <w:tc>
          <w:tcPr>
            <w:tcW w:w="2240" w:type="dxa"/>
            <w:vAlign w:val="bottom"/>
            <w:tcBorders>
              <w:right w:val="single" w:sz="8" w:color="auto"/>
            </w:tcBorders>
            <w:vMerge w:val="continue"/>
          </w:tcPr>
          <w:p>
            <w:pPr>
              <w:spacing w:after="0"/>
              <w:rPr>
                <w:sz w:val="10"/>
                <w:szCs w:val="10"/>
                <w:color w:val="auto"/>
              </w:rPr>
            </w:pPr>
          </w:p>
        </w:tc>
        <w:tc>
          <w:tcPr>
            <w:tcW w:w="3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280" w:type="dxa"/>
            <w:vAlign w:val="bottom"/>
            <w:tcBorders>
              <w:left w:val="single" w:sz="8" w:color="auto"/>
              <w:right w:val="single" w:sz="8" w:color="auto"/>
            </w:tcBorders>
          </w:tcPr>
          <w:p>
            <w:pPr>
              <w:spacing w:after="0"/>
              <w:rPr>
                <w:sz w:val="8"/>
                <w:szCs w:val="8"/>
                <w:color w:val="auto"/>
              </w:rPr>
            </w:pPr>
          </w:p>
        </w:tc>
        <w:tc>
          <w:tcPr>
            <w:tcW w:w="2340" w:type="dxa"/>
            <w:vAlign w:val="bottom"/>
            <w:tcBorders>
              <w:right w:val="single" w:sz="8" w:color="auto"/>
            </w:tcBorders>
            <w:vMerge w:val="continue"/>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3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Company</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BOLIVIA</w:t>
            </w: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EM Vinto</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(PLURINATIONAL STATE</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CID000438</w:t>
            </w: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OF)</w:t>
            </w: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280" w:type="dxa"/>
            <w:vAlign w:val="bottom"/>
            <w:tcBorders>
              <w:left w:val="single" w:sz="8" w:color="auto"/>
              <w:bottom w:val="single" w:sz="8" w:color="auto"/>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34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Estanho de Rondonia S.A.</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CID000448</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Fabrica Auricchio Industria e</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CID003582</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Comercio Ltda.</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Fenix Metals</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POLAND</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CID000468</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Gejiu City Fuxiang Industry</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CID003410</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and Trade Co.,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Gejiu Kai Meng Industry and</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CID000942</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Trade LLC</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Gejiu Non-Ferrous Metal</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CID000538</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Processing Co.,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60"/>
          </w:cols>
          <w:pgMar w:left="320" w:top="1440" w:right="319" w:bottom="1440" w:gutter="0" w:footer="0" w:header="0"/>
          <w:type w:val="continuous"/>
        </w:sectPr>
      </w:pPr>
    </w:p>
    <w:bookmarkStart w:id="21" w:name="page22"/>
    <w:bookmarkEnd w:id="2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2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3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Smelter Facility Name</w:t>
            </w:r>
          </w:p>
        </w:tc>
        <w:tc>
          <w:tcPr>
            <w:tcW w:w="22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34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Gejiu Yunxin Nonferrous</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CID001908</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Electrolysis Co.,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Gejiu Zili Mining And</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CID000555</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Metallurgy Co.,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Global Advanced Metals</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AUSTRALIA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CID004754</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Greenbushes Pty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Guangdong Hanhe Non-</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CID003116</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Ferrous Metal Co.,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Jiangxi New Nanshan</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CID001231</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Technology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Longnan Chuangyue</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Environmental Protection</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CID004796</w:t>
            </w:r>
          </w:p>
        </w:tc>
        <w:tc>
          <w:tcPr>
            <w:tcW w:w="0" w:type="dxa"/>
            <w:vAlign w:val="bottom"/>
          </w:tcPr>
          <w:p>
            <w:pPr>
              <w:spacing w:after="0"/>
              <w:rPr>
                <w:sz w:val="1"/>
                <w:szCs w:val="1"/>
                <w:color w:val="auto"/>
              </w:rPr>
            </w:pPr>
          </w:p>
        </w:tc>
      </w:tr>
      <w:tr>
        <w:trPr>
          <w:trHeight w:val="230"/>
        </w:trPr>
        <w:tc>
          <w:tcPr>
            <w:tcW w:w="3280" w:type="dxa"/>
            <w:vAlign w:val="bottom"/>
            <w:tcBorders>
              <w:left w:val="single" w:sz="8" w:color="auto"/>
              <w:right w:val="single" w:sz="8" w:color="auto"/>
            </w:tcBorders>
            <w:vMerge w:val="continue"/>
          </w:tcPr>
          <w:p>
            <w:pPr>
              <w:spacing w:after="0"/>
              <w:rPr>
                <w:sz w:val="19"/>
                <w:szCs w:val="19"/>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Technology Development Co.,</w:t>
            </w:r>
          </w:p>
        </w:tc>
        <w:tc>
          <w:tcPr>
            <w:tcW w:w="2240" w:type="dxa"/>
            <w:vAlign w:val="bottom"/>
            <w:tcBorders>
              <w:right w:val="single" w:sz="8" w:color="auto"/>
            </w:tcBorders>
            <w:vMerge w:val="continue"/>
          </w:tcPr>
          <w:p>
            <w:pPr>
              <w:spacing w:after="0"/>
              <w:rPr>
                <w:sz w:val="19"/>
                <w:szCs w:val="19"/>
                <w:color w:val="auto"/>
              </w:rPr>
            </w:pPr>
          </w:p>
        </w:tc>
        <w:tc>
          <w:tcPr>
            <w:tcW w:w="340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Ltd.</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Luna Smelter,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RWANDA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CID003387</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Ma'anshan Weitai Tin Co.,</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CID003379</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Magnu's Minerais Metais e</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CID002468</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Ligas Ltda.</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Malaysia Smelting</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Corporation Berhad (Port</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MALAYSIA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CID004434</w:t>
            </w: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Klang)</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280" w:type="dxa"/>
            <w:vAlign w:val="bottom"/>
            <w:tcBorders>
              <w:left w:val="single" w:sz="8" w:color="auto"/>
              <w:bottom w:val="single" w:sz="8" w:color="auto"/>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34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Melt Metais e Ligas S.A.</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CID002500</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Metallic Resources, Inc.</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 OF</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CID001142</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AMERICA</w:t>
            </w: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Mineracao Taboca S.A.</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CID001173</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Mining Minerals Resources</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CONGO, DEMOCRATIC</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CID004065</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SARL</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REPUBLIC OF THE</w:t>
            </w: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Minsur</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PERU</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CID001182</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Mitsubishi Materials</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CID001191</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Corporation</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Modeltech Sdn Bhd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MALAYSIA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CID002858</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Nghe Tinh Non-Ferrous</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VIET NAM</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CID002573</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Metals Joint Stock Company</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Novosibirsk Tin Combine</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CID001305</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O.M. Manufacturing</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THAILAND</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CID001314</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(Thailand) Co.,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O.M. Manufacturing</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PHILIPPINES</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CID002517</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Philippines, Inc.</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60"/>
          </w:cols>
          <w:pgMar w:left="320" w:top="1440" w:right="319" w:bottom="56" w:gutter="0" w:footer="0" w:header="0"/>
          <w:type w:val="continuous"/>
        </w:sectPr>
      </w:pPr>
    </w:p>
    <w:bookmarkStart w:id="22" w:name="page23"/>
    <w:bookmarkEnd w:id="22"/>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2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3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Smelter Facility Name</w:t>
            </w:r>
          </w:p>
        </w:tc>
        <w:tc>
          <w:tcPr>
            <w:tcW w:w="22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34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Operaciones Metalurgicas</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BOLIVIA</w:t>
            </w: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(PLURINATIONAL STATE</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CID001337</w:t>
            </w:r>
          </w:p>
        </w:tc>
        <w:tc>
          <w:tcPr>
            <w:tcW w:w="0" w:type="dxa"/>
            <w:vAlign w:val="bottom"/>
          </w:tcPr>
          <w:p>
            <w:pPr>
              <w:spacing w:after="0"/>
              <w:rPr>
                <w:sz w:val="1"/>
                <w:szCs w:val="1"/>
                <w:color w:val="auto"/>
              </w:rPr>
            </w:pPr>
          </w:p>
        </w:tc>
      </w:tr>
      <w:tr>
        <w:trPr>
          <w:trHeight w:val="108"/>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S.A.</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OF)</w:t>
            </w: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80" w:type="dxa"/>
            <w:vAlign w:val="bottom"/>
            <w:tcBorders>
              <w:left w:val="single" w:sz="8" w:color="auto"/>
              <w:right w:val="single" w:sz="8" w:color="auto"/>
            </w:tcBorders>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3280" w:type="dxa"/>
            <w:vAlign w:val="bottom"/>
            <w:tcBorders>
              <w:left w:val="single" w:sz="8" w:color="auto"/>
              <w:bottom w:val="single" w:sz="8" w:color="auto"/>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34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P Kay Metal, Inc.</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 OF</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CID005189</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AMERICA</w:t>
            </w: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Precious Minerals and</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INDIA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CID003409</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Smelting Limited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CID000309</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Artha Cipta Langgeng</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CID001399</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ATD Makmur Mandiri</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CID002503</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Jaya</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Bangka Prima Tin</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CID002776</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Cipta Persada Mulia</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CID002696</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Masbro Alam Stania</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CID003380</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Mitra Stania Prima</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CID001453</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CID003449</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Premium Tin Indonesia</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CID000313</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Prima Timah Utama</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CID001458</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Putera Sarana Shakti (PT</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CID003868</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PSS)</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Rajehan Ariq</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CID002593</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Timah Tbk Kundur</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CID001477</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Timah Tbk Mentok</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CID001482</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Resind Industria e Comercio</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CID002706</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Ltda.</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RIKAYAA GREENTECH</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INDIA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CID004692</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PRIVATE LIMITED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Rui Da Hung</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TAIWAN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CID001539</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Super Ligas</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CID002756</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Takehara PVD Materials Plant</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PVD Materials Division of</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CID004403</w:t>
            </w:r>
          </w:p>
        </w:tc>
        <w:tc>
          <w:tcPr>
            <w:tcW w:w="0" w:type="dxa"/>
            <w:vAlign w:val="bottom"/>
          </w:tcPr>
          <w:p>
            <w:pPr>
              <w:spacing w:after="0"/>
              <w:rPr>
                <w:sz w:val="1"/>
                <w:szCs w:val="1"/>
                <w:color w:val="auto"/>
              </w:rPr>
            </w:pPr>
          </w:p>
        </w:tc>
      </w:tr>
      <w:tr>
        <w:trPr>
          <w:trHeight w:val="126"/>
        </w:trPr>
        <w:tc>
          <w:tcPr>
            <w:tcW w:w="3280" w:type="dxa"/>
            <w:vAlign w:val="bottom"/>
            <w:tcBorders>
              <w:left w:val="single" w:sz="8" w:color="auto"/>
              <w:right w:val="single" w:sz="8" w:color="auto"/>
            </w:tcBorders>
            <w:vMerge w:val="continue"/>
          </w:tcPr>
          <w:p>
            <w:pPr>
              <w:spacing w:after="0"/>
              <w:rPr>
                <w:sz w:val="10"/>
                <w:szCs w:val="10"/>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MITSUI MINING</w:t>
            </w:r>
          </w:p>
        </w:tc>
        <w:tc>
          <w:tcPr>
            <w:tcW w:w="2240" w:type="dxa"/>
            <w:vAlign w:val="bottom"/>
            <w:tcBorders>
              <w:right w:val="single" w:sz="8" w:color="auto"/>
            </w:tcBorders>
            <w:vMerge w:val="continue"/>
          </w:tcPr>
          <w:p>
            <w:pPr>
              <w:spacing w:after="0"/>
              <w:rPr>
                <w:sz w:val="10"/>
                <w:szCs w:val="10"/>
                <w:color w:val="auto"/>
              </w:rPr>
            </w:pPr>
          </w:p>
        </w:tc>
        <w:tc>
          <w:tcPr>
            <w:tcW w:w="3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280" w:type="dxa"/>
            <w:vAlign w:val="bottom"/>
            <w:tcBorders>
              <w:left w:val="single" w:sz="8" w:color="auto"/>
              <w:right w:val="single" w:sz="8" w:color="auto"/>
            </w:tcBorders>
          </w:tcPr>
          <w:p>
            <w:pPr>
              <w:spacing w:after="0"/>
              <w:rPr>
                <w:sz w:val="8"/>
                <w:szCs w:val="8"/>
                <w:color w:val="auto"/>
              </w:rPr>
            </w:pPr>
          </w:p>
        </w:tc>
        <w:tc>
          <w:tcPr>
            <w:tcW w:w="2340" w:type="dxa"/>
            <w:vAlign w:val="bottom"/>
            <w:tcBorders>
              <w:right w:val="single" w:sz="8" w:color="auto"/>
            </w:tcBorders>
            <w:vMerge w:val="continue"/>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3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SMELTING</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Thaisarco</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THAILAND</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CID001898</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Tin Smelting Branch of</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CID002180</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Yunnan Tin Co.,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 OF</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CID003325</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AMERICA</w:t>
            </w: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999" w:orient="portrait"/>
          <w:cols w:equalWidth="0" w:num="1">
            <w:col w:w="11260"/>
          </w:cols>
          <w:pgMar w:left="320" w:top="1440"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999" w:orient="portrait"/>
          <w:cols w:equalWidth="0" w:num="1">
            <w:col w:w="11260"/>
          </w:cols>
          <w:pgMar w:left="320" w:top="1440" w:right="319" w:bottom="0" w:gutter="0" w:footer="0" w:header="0"/>
          <w:type w:val="continuous"/>
        </w:sectPr>
      </w:pPr>
    </w:p>
    <w:bookmarkStart w:id="23" w:name="page24"/>
    <w:bookmarkEnd w:id="2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2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3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Smelter Facility Name</w:t>
            </w:r>
          </w:p>
        </w:tc>
        <w:tc>
          <w:tcPr>
            <w:tcW w:w="22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34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VQB Mineral and Trading</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VIET NAM</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CID002015</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Group JSC</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White Solder Metalurgia e</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CID002036</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Mineracao Ltda.</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Woodcross Smelting Company</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UGANDA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CID004724</w:t>
            </w: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Limited</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234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Yunnan Chengfeng Non-</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CID002158</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ferrous Metals Co.,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Yunnan Yunfan Non-ferrous</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CID003397</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Metals Co.,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23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tcBorders>
          </w:tcPr>
          <w:p>
            <w:pPr>
              <w:spacing w:after="0"/>
              <w:rPr>
                <w:sz w:val="15"/>
                <w:szCs w:val="15"/>
                <w:color w:val="auto"/>
              </w:rPr>
            </w:pPr>
          </w:p>
        </w:tc>
        <w:tc>
          <w:tcPr>
            <w:tcW w:w="23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A.L.M.T. Corp.</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CID000004</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Albasteel Industria e</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Comercio de Ligas Para</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CID003427</w:t>
            </w: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Fundicao Ltd.</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280" w:type="dxa"/>
            <w:vAlign w:val="bottom"/>
            <w:tcBorders>
              <w:left w:val="single" w:sz="8" w:color="auto"/>
              <w:bottom w:val="single" w:sz="8" w:color="auto"/>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34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Asia Tungsten Products</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VIET NAM</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CID002502</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Vietnam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 Molybdenum Tungsten</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CID002641</w:t>
            </w: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 Ltd.</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234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1"/>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Chongyi Zhangyuan Tungsten</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CID000258</w:t>
            </w: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 Ltd.</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234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Cronimet Brasil Ltda</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CID003468</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Fujian Xinlu Tungsten</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CID003609</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Ganzhou Jiangwu</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CID002315</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Ferrotungsten Co.,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Ganzhou Seadragon W &amp; Mo</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CID002494</w:t>
            </w: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 Ltd.</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234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Global Tungsten &amp; Powders</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 OF</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CID000568</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Corp.</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AMERICA</w:t>
            </w: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Guangdong Xianglu Tungsten</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CID000218</w:t>
            </w: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 Ltd.</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234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H.C. Starck Tungsten GmbH</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GERMANY</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CID002541</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Hubei Green Tungsten Co.,</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CID003417</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Hunan Jintai New Material</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CID000769</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Co.,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Hunan Shizhuyuan</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Nonferrous Metals Co., Ltd.</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CID002513</w:t>
            </w:r>
          </w:p>
        </w:tc>
        <w:tc>
          <w:tcPr>
            <w:tcW w:w="0" w:type="dxa"/>
            <w:vAlign w:val="bottom"/>
          </w:tcPr>
          <w:p>
            <w:pPr>
              <w:spacing w:after="0"/>
              <w:rPr>
                <w:sz w:val="1"/>
                <w:szCs w:val="1"/>
                <w:color w:val="auto"/>
              </w:rPr>
            </w:pPr>
          </w:p>
        </w:tc>
      </w:tr>
      <w:tr>
        <w:trPr>
          <w:trHeight w:val="126"/>
        </w:trPr>
        <w:tc>
          <w:tcPr>
            <w:tcW w:w="3280" w:type="dxa"/>
            <w:vAlign w:val="bottom"/>
            <w:tcBorders>
              <w:left w:val="single" w:sz="8" w:color="auto"/>
              <w:right w:val="single" w:sz="8" w:color="auto"/>
            </w:tcBorders>
            <w:vMerge w:val="continue"/>
          </w:tcPr>
          <w:p>
            <w:pPr>
              <w:spacing w:after="0"/>
              <w:rPr>
                <w:sz w:val="10"/>
                <w:szCs w:val="10"/>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Chenzhou Tungsten Products</w:t>
            </w:r>
          </w:p>
        </w:tc>
        <w:tc>
          <w:tcPr>
            <w:tcW w:w="2240" w:type="dxa"/>
            <w:vAlign w:val="bottom"/>
            <w:tcBorders>
              <w:right w:val="single" w:sz="8" w:color="auto"/>
            </w:tcBorders>
            <w:vMerge w:val="continue"/>
          </w:tcPr>
          <w:p>
            <w:pPr>
              <w:spacing w:after="0"/>
              <w:rPr>
                <w:sz w:val="10"/>
                <w:szCs w:val="10"/>
                <w:color w:val="auto"/>
              </w:rPr>
            </w:pPr>
          </w:p>
        </w:tc>
        <w:tc>
          <w:tcPr>
            <w:tcW w:w="3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280" w:type="dxa"/>
            <w:vAlign w:val="bottom"/>
            <w:tcBorders>
              <w:left w:val="single" w:sz="8" w:color="auto"/>
              <w:right w:val="single" w:sz="8" w:color="auto"/>
            </w:tcBorders>
          </w:tcPr>
          <w:p>
            <w:pPr>
              <w:spacing w:after="0"/>
              <w:rPr>
                <w:sz w:val="8"/>
                <w:szCs w:val="8"/>
                <w:color w:val="auto"/>
              </w:rPr>
            </w:pPr>
          </w:p>
        </w:tc>
        <w:tc>
          <w:tcPr>
            <w:tcW w:w="2340" w:type="dxa"/>
            <w:vAlign w:val="bottom"/>
            <w:tcBorders>
              <w:right w:val="single" w:sz="8" w:color="auto"/>
            </w:tcBorders>
            <w:vMerge w:val="continue"/>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3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Branch</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60"/>
          </w:cols>
          <w:pgMar w:left="320" w:top="1440" w:right="319" w:bottom="0" w:gutter="0" w:footer="0" w:header="0"/>
          <w:type w:val="continuous"/>
        </w:sectPr>
      </w:pPr>
    </w:p>
    <w:bookmarkStart w:id="25" w:name="page26"/>
    <w:bookmarkEnd w:id="2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2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3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Smelter Facility Name</w:t>
            </w:r>
          </w:p>
        </w:tc>
        <w:tc>
          <w:tcPr>
            <w:tcW w:w="22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34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Hydrometallurg, JSC</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CID002649</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Japan New Metals Co.,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CID000825</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Jiangwu H.C. Starck Tungsten</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CID002551</w:t>
            </w: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Products Co., Ltd.</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234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1"/>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Jiangxi Gan Bei Tungsten Co.,</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CID002321</w:t>
            </w: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Ltd.</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234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Jiangxi Minmetals Gao'an</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CID002313</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Non-ferrous Metals Co.,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Jiangxi Xinsheng Tungsten</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CID002317</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Industry Co.,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Jiangxi Yaosheng Tungsten</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CID002316</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Co.,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JSC "Kirovgrad Hard Alloys</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CID003408</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Plant"</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Kennametal Fallon</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 OF</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CID000966</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AMERICA</w:t>
            </w: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Kennametal Huntsville</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 OF</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CID000105</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AMERICA</w:t>
            </w: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Lianyou Metals Co.,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TAIWAN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CID003407</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Lianyou Resources Co.,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TAIWAN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CID004397</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Malipo Haiyu Tungsten Co.,</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CID002319</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Masan High-Tech Materials</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VIET NAM</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CID002543</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Moliren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CID002845</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 Viet Cromit Joint Stock</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VIET NAM</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CID002543</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Company</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Niagara Refining LLC</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 OF</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CID002589</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AMERICA</w:t>
            </w: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NPP Tyazhmetprom LLC</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CID003416</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OOO “Technolom” 1</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CID003612</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OOO “Technolom” 2</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CID003614</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Philippine Carreytech Metal</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PHILIPPINES</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CID004438</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Corp.</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60"/>
          </w:cols>
          <w:pgMar w:left="320" w:top="1440" w:right="319" w:bottom="1440" w:gutter="0" w:footer="0" w:header="0"/>
          <w:type w:val="continuous"/>
        </w:sectPr>
      </w:pPr>
    </w:p>
    <w:bookmarkStart w:id="26" w:name="page27"/>
    <w:bookmarkEnd w:id="2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2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3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Smelter Facility Name</w:t>
            </w:r>
          </w:p>
        </w:tc>
        <w:tc>
          <w:tcPr>
            <w:tcW w:w="22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34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S.P.T. spol.s r.o.</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CZECHIA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CID005068</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Shinwon Tungsten (Fujian</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CID004430</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Shanghang) Co., 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TANIOBIS Smelting GmbH</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GERMANY</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CID002542</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&amp; Co. KG</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Tungsten Vietnam Joint Stock</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VIET NAM</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CID003993</w:t>
            </w:r>
          </w:p>
        </w:tc>
        <w:tc>
          <w:tcPr>
            <w:tcW w:w="0" w:type="dxa"/>
            <w:vAlign w:val="bottom"/>
          </w:tcPr>
          <w:p>
            <w:pPr>
              <w:spacing w:after="0"/>
              <w:rPr>
                <w:sz w:val="1"/>
                <w:szCs w:val="1"/>
                <w:color w:val="auto"/>
              </w:rPr>
            </w:pPr>
          </w:p>
        </w:tc>
      </w:tr>
      <w:tr>
        <w:trPr>
          <w:trHeight w:val="234"/>
        </w:trPr>
        <w:tc>
          <w:tcPr>
            <w:tcW w:w="32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Company</w:t>
            </w:r>
          </w:p>
        </w:tc>
        <w:tc>
          <w:tcPr>
            <w:tcW w:w="2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234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Unecha Refractory metals</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CID002724</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plant</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Wolfram Bergbau und Hutten</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AUSTRIA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CID002044</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AG</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Xiamen Tungsten Co., Ltd.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CID002082</w:t>
            </w: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Xiamen Tungsten (H.C.) Co.,</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CID002320</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Yudu Ansheng Tungsten Co.,</w:t>
            </w:r>
          </w:p>
        </w:tc>
        <w:tc>
          <w:tcPr>
            <w:tcW w:w="22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CID003662</w:t>
            </w:r>
          </w:p>
        </w:tc>
        <w:tc>
          <w:tcPr>
            <w:tcW w:w="0" w:type="dxa"/>
            <w:vAlign w:val="bottom"/>
          </w:tcPr>
          <w:p>
            <w:pPr>
              <w:spacing w:after="0"/>
              <w:rPr>
                <w:sz w:val="1"/>
                <w:szCs w:val="1"/>
                <w:color w:val="auto"/>
              </w:rPr>
            </w:pPr>
          </w:p>
        </w:tc>
      </w:tr>
      <w:tr>
        <w:trPr>
          <w:trHeight w:val="113"/>
        </w:trPr>
        <w:tc>
          <w:tcPr>
            <w:tcW w:w="328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Ltd.</w:t>
            </w:r>
          </w:p>
        </w:tc>
        <w:tc>
          <w:tcPr>
            <w:tcW w:w="2240" w:type="dxa"/>
            <w:vAlign w:val="bottom"/>
            <w:tcBorders>
              <w:right w:val="single" w:sz="8" w:color="auto"/>
            </w:tcBorders>
            <w:vMerge w:val="continue"/>
          </w:tcPr>
          <w:p>
            <w:pPr>
              <w:spacing w:after="0"/>
              <w:rPr>
                <w:sz w:val="9"/>
                <w:szCs w:val="9"/>
                <w:color w:val="auto"/>
              </w:rPr>
            </w:pPr>
          </w:p>
        </w:tc>
        <w:tc>
          <w:tcPr>
            <w:tcW w:w="3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auto"/>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sectPr>
      <w:pgSz w:w="11900" w:h="16838" w:orient="portrait"/>
      <w:cols w:equalWidth="0" w:num="1">
        <w:col w:w="11260"/>
      </w:cols>
      <w:pgMar w:left="320" w:top="14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2026-05-28T17:30:50Z</dcterms:created>
  <dcterms:modified xsi:type="dcterms:W3CDTF">2026-05-28T17:30:50Z</dcterms:modified>
</cp:coreProperties>
</file>