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spacing w:after="0"/>
        <w:tabs>
          <w:tab w:leader="none" w:pos="74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4" w:lineRule="exact"/>
        <w:rPr>
          <w:sz w:val="24"/>
          <w:szCs w:val="24"/>
          <w:color w:val="auto"/>
        </w:rPr>
      </w:pPr>
    </w:p>
    <w:p>
      <w:pPr>
        <w:ind w:left="5060"/>
        <w:spacing w:after="0"/>
        <w:tabs>
          <w:tab w:leader="none" w:pos="6720" w:val="left"/>
        </w:tabs>
        <w:rPr>
          <w:sz w:val="20"/>
          <w:szCs w:val="20"/>
          <w:color w:val="auto"/>
        </w:rPr>
      </w:pPr>
      <w:r>
        <w:rPr>
          <w:rFonts w:ascii="Courier New" w:cs="Courier New" w:eastAsia="Courier New" w:hAnsi="Courier New"/>
          <w:sz w:val="16"/>
          <w:szCs w:val="16"/>
          <w:color w:val="auto"/>
        </w:rPr>
        <w:t>EXPIRES:</w:t>
      </w:r>
      <w:r>
        <w:rPr>
          <w:sz w:val="20"/>
          <w:szCs w:val="20"/>
          <w:color w:val="auto"/>
        </w:rPr>
        <w:tab/>
      </w:r>
      <w:r>
        <w:rPr>
          <w:rFonts w:ascii="Courier New" w:cs="Courier New" w:eastAsia="Courier New" w:hAnsi="Courier New"/>
          <w:sz w:val="16"/>
          <w:szCs w:val="16"/>
          <w:color w:val="auto"/>
        </w:rPr>
        <w:t>OCTOBER 31, 1994</w:t>
      </w:r>
    </w:p>
    <w:p>
      <w:pPr>
        <w:spacing w:after="0" w:line="16"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ESTIMATED AVERAGE BURDEN</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HOURS PER RESPONSE........ 14.90</w:t>
      </w:r>
    </w:p>
    <w:p>
      <w:pPr>
        <w:spacing w:after="0" w:line="200" w:lineRule="exact"/>
        <w:rPr>
          <w:sz w:val="24"/>
          <w:szCs w:val="24"/>
          <w:color w:val="auto"/>
        </w:rPr>
      </w:pPr>
    </w:p>
    <w:p>
      <w:pPr>
        <w:spacing w:after="0" w:line="22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ectPr>
          <w:pgSz w:w="11900" w:h="16838" w:orient="portrait"/>
          <w:cols w:equalWidth="0" w:num="1">
            <w:col w:w="10219"/>
          </w:cols>
          <w:pgMar w:left="240" w:top="649" w:right="1440" w:bottom="1440" w:gutter="0" w:footer="0" w:header="0"/>
        </w:sectPr>
      </w:pPr>
    </w:p>
    <w:p>
      <w:pPr>
        <w:spacing w:after="0" w:line="207"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(Amendment No.</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02" w:lineRule="exact"/>
        <w:rPr>
          <w:sz w:val="24"/>
          <w:szCs w:val="24"/>
          <w:color w:val="auto"/>
        </w:rPr>
      </w:pPr>
    </w:p>
    <w:p>
      <w:pPr>
        <w:sectPr>
          <w:pgSz w:w="11900" w:h="16838" w:orient="portrait"/>
          <w:cols w:equalWidth="0" w:num="3">
            <w:col w:w="4320" w:space="0"/>
            <w:col w:w="960" w:space="0"/>
            <w:col w:w="4939"/>
          </w:cols>
          <w:pgMar w:left="240" w:top="649" w:right="1440" w:bottom="1440" w:gutter="0" w:footer="0" w:header="0"/>
          <w:type w:val="continuous"/>
        </w:sectPr>
      </w:pPr>
    </w:p>
    <w:p>
      <w:pPr>
        <w:spacing w:after="0" w:line="22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Applied Materials,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03822210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[_].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both"/>
        <w:ind w:left="220" w:right="2419" w:hanging="210"/>
        <w:spacing w:after="0" w:line="237" w:lineRule="auto"/>
        <w:rPr>
          <w:sz w:val="20"/>
          <w:szCs w:val="20"/>
          <w:color w:val="auto"/>
        </w:rPr>
      </w:pPr>
      <w:r>
        <w:rPr>
          <w:rFonts w:ascii="Courier New" w:cs="Courier New" w:eastAsia="Courier New" w:hAnsi="Courier New"/>
          <w:sz w:val="18"/>
          <w:szCs w:val="18"/>
          <w:color w:val="auto"/>
        </w:rPr>
        <w:t>Note:</w:t>
      </w:r>
      <w:r>
        <w:rPr>
          <w:sz w:val="20"/>
          <w:szCs w:val="20"/>
          <w:color w:val="auto"/>
        </w:rPr>
        <w:t xml:space="preserve"> </w:t>
      </w:r>
      <w:r>
        <w:rPr>
          <w:rFonts w:ascii="Courier New" w:cs="Courier New" w:eastAsia="Courier New" w:hAnsi="Courier New"/>
          <w:sz w:val="18"/>
          <w:szCs w:val="18"/>
          <w:color w:val="auto"/>
        </w:rPr>
        <w:t>This amendment is being made to correct typographical errors to the Schedule 13G on the above-referenced issuer, filed on February 14, 1994, regarding the number of shares of such issuer beneficially owned by the reporting person.</w:t>
      </w:r>
    </w:p>
    <w:p>
      <w:pPr>
        <w:sectPr>
          <w:pgSz w:w="11900" w:h="16838" w:orient="portrait"/>
          <w:cols w:equalWidth="0" w:num="1">
            <w:col w:w="10219"/>
          </w:cols>
          <w:pgMar w:left="240" w:top="64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800" w:type="dxa"/>
            <w:vAlign w:val="bottom"/>
          </w:tcPr>
          <w:p>
            <w:pPr>
              <w:jc w:val="right"/>
              <w:ind w:right="712"/>
              <w:spacing w:after="0"/>
              <w:rPr>
                <w:sz w:val="20"/>
                <w:szCs w:val="20"/>
                <w:color w:val="auto"/>
              </w:rPr>
            </w:pPr>
            <w:r>
              <w:rPr>
                <w:rFonts w:ascii="Courier New" w:cs="Courier New" w:eastAsia="Courier New" w:hAnsi="Courier New"/>
                <w:sz w:val="18"/>
                <w:szCs w:val="18"/>
                <w:color w:val="auto"/>
                <w:w w:val="96"/>
              </w:rPr>
              <w:t>CUSIP NO.  03822210</w:t>
            </w:r>
          </w:p>
        </w:tc>
        <w:tc>
          <w:tcPr>
            <w:tcW w:w="1840" w:type="dxa"/>
            <w:vAlign w:val="bottom"/>
          </w:tcPr>
          <w:p>
            <w:pPr>
              <w:ind w:left="780"/>
              <w:spacing w:after="0"/>
              <w:rPr>
                <w:sz w:val="20"/>
                <w:szCs w:val="20"/>
                <w:color w:val="auto"/>
              </w:rPr>
            </w:pPr>
            <w:r>
              <w:rPr>
                <w:rFonts w:ascii="Courier New" w:cs="Courier New" w:eastAsia="Courier New" w:hAnsi="Courier New"/>
                <w:sz w:val="18"/>
                <w:szCs w:val="18"/>
                <w:color w:val="auto"/>
              </w:rPr>
              <w:t>13G</w:t>
            </w:r>
          </w:p>
        </w:tc>
        <w:tc>
          <w:tcPr>
            <w:tcW w:w="2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PAGE   2   OF</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7  PAGES</w:t>
            </w:r>
          </w:p>
        </w:tc>
      </w:tr>
      <w:tr>
        <w:trPr>
          <w:trHeight w:val="203"/>
        </w:trPr>
        <w:tc>
          <w:tcPr>
            <w:tcW w:w="2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spacing w:after="0"/>
              <w:rPr>
                <w:sz w:val="17"/>
                <w:szCs w:val="17"/>
                <w:color w:val="auto"/>
              </w:rPr>
            </w:pPr>
          </w:p>
        </w:tc>
        <w:tc>
          <w:tcPr>
            <w:tcW w:w="2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Merrill Lynch Asset Management, L.P.*</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Joint Filing</w:t>
      </w:r>
    </w:p>
    <w:p>
      <w:pPr>
        <w:ind w:left="7600" w:hanging="429"/>
        <w:spacing w:after="0" w:line="238" w:lineRule="auto"/>
        <w:tabs>
          <w:tab w:leader="none" w:pos="76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600" w:hanging="429"/>
        <w:spacing w:after="0" w:line="238" w:lineRule="auto"/>
        <w:tabs>
          <w:tab w:leader="none" w:pos="76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SHARED VOTING POWER</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3,000,000</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  SOLE DISPOSITIVE POWER</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  SHARED DISPOSITIVE POWER</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3,000,000</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3,000,000</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3.7%</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IA, PN</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pacing w:after="0" w:line="207" w:lineRule="exact"/>
        <w:rPr>
          <w:rFonts w:ascii="Courier New" w:cs="Courier New" w:eastAsia="Courier New" w:hAnsi="Courier New"/>
          <w:sz w:val="16"/>
          <w:szCs w:val="16"/>
          <w:color w:val="auto"/>
        </w:rPr>
      </w:pPr>
    </w:p>
    <w:p>
      <w:pPr>
        <w:ind w:left="740" w:right="2099" w:hanging="211"/>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Merrill Lynch Asset Management, L.P., the general partner of which is Princeton Services, Inc., is the successor to Merrill Lynch Investment Management, Inc.</w:t>
      </w:r>
    </w:p>
    <w:p>
      <w:pPr>
        <w:sectPr>
          <w:pgSz w:w="11900" w:h="16838" w:orient="portrait"/>
          <w:cols w:equalWidth="0" w:num="1">
            <w:col w:w="10219"/>
          </w:cols>
          <w:pgMar w:left="240" w:top="71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CUSIP NO.  03822210</w:t>
            </w:r>
          </w:p>
        </w:tc>
        <w:tc>
          <w:tcPr>
            <w:tcW w:w="1840" w:type="dxa"/>
            <w:vAlign w:val="bottom"/>
          </w:tcPr>
          <w:p>
            <w:pPr>
              <w:ind w:left="900"/>
              <w:spacing w:after="0"/>
              <w:rPr>
                <w:sz w:val="20"/>
                <w:szCs w:val="20"/>
                <w:color w:val="auto"/>
              </w:rPr>
            </w:pPr>
            <w:r>
              <w:rPr>
                <w:rFonts w:ascii="Courier New" w:cs="Courier New" w:eastAsia="Courier New" w:hAnsi="Courier New"/>
                <w:sz w:val="18"/>
                <w:szCs w:val="18"/>
                <w:color w:val="auto"/>
              </w:rPr>
              <w:t>13G</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PAGE   3   OF</w:t>
            </w:r>
          </w:p>
        </w:tc>
        <w:tc>
          <w:tcPr>
            <w:tcW w:w="6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7</w:t>
            </w: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w w:val="92"/>
              </w:rPr>
              <w:t>PAGES</w:t>
            </w:r>
          </w:p>
        </w:tc>
      </w:tr>
      <w:tr>
        <w:trPr>
          <w:trHeight w:val="203"/>
        </w:trPr>
        <w:tc>
          <w:tcPr>
            <w:tcW w:w="2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Merrill Lynch Growth Fund for Investment and Retirement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 Joint Filing</w:t>
      </w:r>
    </w:p>
    <w:p>
      <w:pPr>
        <w:ind w:left="7180"/>
        <w:spacing w:after="0" w:line="238" w:lineRule="auto"/>
        <w:rPr>
          <w:sz w:val="20"/>
          <w:szCs w:val="20"/>
          <w:color w:val="auto"/>
        </w:rPr>
      </w:pPr>
      <w:r>
        <w:rPr>
          <w:rFonts w:ascii="Courier New" w:cs="Courier New" w:eastAsia="Courier New" w:hAnsi="Courier New"/>
          <w:sz w:val="18"/>
          <w:szCs w:val="18"/>
          <w:color w:val="auto"/>
        </w:rPr>
        <w:t>(a) [_]</w:t>
      </w:r>
    </w:p>
    <w:p>
      <w:pPr>
        <w:ind w:left="7180"/>
        <w:spacing w:after="0"/>
        <w:rPr>
          <w:sz w:val="20"/>
          <w:szCs w:val="20"/>
          <w:color w:val="auto"/>
        </w:rPr>
      </w:pPr>
      <w:r>
        <w:rPr>
          <w:rFonts w:ascii="Courier New" w:cs="Courier New" w:eastAsia="Courier New" w:hAnsi="Courier New"/>
          <w:sz w:val="18"/>
          <w:szCs w:val="18"/>
          <w:color w:val="auto"/>
        </w:rPr>
        <w:t>(b) [_]</w:t>
      </w:r>
    </w:p>
    <w:p>
      <w:pPr>
        <w:spacing w:after="0" w:line="3"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SHARED VOTING POWER</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3,000,000</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  SOLE DISPOSITIVE POWER</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  SHARED DISPOSITIVE POWER</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3,000,000</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3,000,000</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3.7%</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6620" w:type="dxa"/>
            <w:vAlign w:val="bottom"/>
            <w:gridSpan w:val="2"/>
          </w:tcPr>
          <w:p>
            <w:pPr>
              <w:ind w:left="2300"/>
              <w:spacing w:after="0"/>
              <w:rPr>
                <w:sz w:val="20"/>
                <w:szCs w:val="20"/>
                <w:color w:val="auto"/>
              </w:rPr>
            </w:pPr>
            <w:r>
              <w:rPr>
                <w:rFonts w:ascii="Courier New" w:cs="Courier New" w:eastAsia="Courier New" w:hAnsi="Courier New"/>
                <w:sz w:val="18"/>
                <w:szCs w:val="18"/>
                <w:color w:val="auto"/>
              </w:rPr>
              <w:t>SCHEDULE 13G</w:t>
            </w: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1 (a)</w:t>
            </w:r>
          </w:p>
        </w:tc>
        <w:tc>
          <w:tcPr>
            <w:tcW w:w="2740" w:type="dxa"/>
            <w:vAlign w:val="bottom"/>
          </w:tcPr>
          <w:p>
            <w:pPr>
              <w:ind w:left="200"/>
              <w:spacing w:after="0"/>
              <w:rPr>
                <w:sz w:val="20"/>
                <w:szCs w:val="20"/>
                <w:color w:val="auto"/>
              </w:rPr>
            </w:pPr>
            <w:r>
              <w:rPr>
                <w:rFonts w:ascii="Courier New" w:cs="Courier New" w:eastAsia="Courier New" w:hAnsi="Courier New"/>
                <w:sz w:val="18"/>
                <w:szCs w:val="18"/>
                <w:color w:val="auto"/>
              </w:rPr>
              <w:t>Name of Issuer:</w:t>
            </w:r>
          </w:p>
        </w:tc>
        <w:tc>
          <w:tcPr>
            <w:tcW w:w="388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388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740" w:type="dxa"/>
            <w:vAlign w:val="bottom"/>
          </w:tcPr>
          <w:p>
            <w:pPr>
              <w:ind w:left="200"/>
              <w:spacing w:after="0"/>
              <w:rPr>
                <w:sz w:val="20"/>
                <w:szCs w:val="20"/>
                <w:color w:val="auto"/>
              </w:rPr>
            </w:pPr>
            <w:r>
              <w:rPr>
                <w:rFonts w:ascii="Courier New" w:cs="Courier New" w:eastAsia="Courier New" w:hAnsi="Courier New"/>
                <w:sz w:val="18"/>
                <w:szCs w:val="18"/>
                <w:color w:val="auto"/>
              </w:rPr>
              <w:t>Applied Materials, Inc.</w:t>
            </w:r>
          </w:p>
        </w:tc>
        <w:tc>
          <w:tcPr>
            <w:tcW w:w="3880" w:type="dxa"/>
            <w:vAlign w:val="bottom"/>
          </w:tcPr>
          <w:p>
            <w:pPr>
              <w:spacing w:after="0"/>
              <w:rPr>
                <w:sz w:val="24"/>
                <w:szCs w:val="24"/>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1 (b)</w:t>
            </w:r>
          </w:p>
        </w:tc>
        <w:tc>
          <w:tcPr>
            <w:tcW w:w="66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280" w:type="dxa"/>
            <w:vAlign w:val="bottom"/>
          </w:tcPr>
          <w:p>
            <w:pPr>
              <w:spacing w:after="0"/>
              <w:rPr>
                <w:sz w:val="17"/>
                <w:szCs w:val="17"/>
                <w:color w:val="auto"/>
              </w:rPr>
            </w:pPr>
          </w:p>
        </w:tc>
        <w:tc>
          <w:tcPr>
            <w:tcW w:w="66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4"/>
                <w:szCs w:val="24"/>
                <w:color w:val="auto"/>
              </w:rPr>
            </w:pPr>
          </w:p>
        </w:tc>
        <w:tc>
          <w:tcPr>
            <w:tcW w:w="2740" w:type="dxa"/>
            <w:vAlign w:val="bottom"/>
          </w:tcPr>
          <w:p>
            <w:pPr>
              <w:ind w:left="200"/>
              <w:spacing w:after="0"/>
              <w:rPr>
                <w:sz w:val="20"/>
                <w:szCs w:val="20"/>
                <w:color w:val="auto"/>
              </w:rPr>
            </w:pPr>
            <w:r>
              <w:rPr>
                <w:rFonts w:ascii="Courier New" w:cs="Courier New" w:eastAsia="Courier New" w:hAnsi="Courier New"/>
                <w:sz w:val="18"/>
                <w:szCs w:val="18"/>
                <w:color w:val="auto"/>
              </w:rPr>
              <w:t>3050 Bowers Avenue</w:t>
            </w:r>
          </w:p>
        </w:tc>
        <w:tc>
          <w:tcPr>
            <w:tcW w:w="388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Santa Clara, CA  95054</w:t>
            </w:r>
          </w:p>
        </w:tc>
        <w:tc>
          <w:tcPr>
            <w:tcW w:w="388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2 (a)</w:t>
            </w:r>
          </w:p>
        </w:tc>
        <w:tc>
          <w:tcPr>
            <w:tcW w:w="2740" w:type="dxa"/>
            <w:vAlign w:val="bottom"/>
          </w:tcPr>
          <w:p>
            <w:pPr>
              <w:ind w:left="200"/>
              <w:spacing w:after="0"/>
              <w:rPr>
                <w:sz w:val="20"/>
                <w:szCs w:val="20"/>
                <w:color w:val="auto"/>
              </w:rPr>
            </w:pPr>
            <w:r>
              <w:rPr>
                <w:rFonts w:ascii="Courier New" w:cs="Courier New" w:eastAsia="Courier New" w:hAnsi="Courier New"/>
                <w:sz w:val="18"/>
                <w:szCs w:val="18"/>
                <w:color w:val="auto"/>
                <w:w w:val="97"/>
              </w:rPr>
              <w:t>Names of Persons Filing:</w:t>
            </w:r>
          </w:p>
        </w:tc>
        <w:tc>
          <w:tcPr>
            <w:tcW w:w="388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388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66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Merrill Lynch Asset Management, L.P.</w:t>
            </w:r>
          </w:p>
        </w:tc>
      </w:tr>
      <w:tr>
        <w:trPr>
          <w:trHeight w:val="203"/>
        </w:trPr>
        <w:tc>
          <w:tcPr>
            <w:tcW w:w="1280" w:type="dxa"/>
            <w:vAlign w:val="bottom"/>
          </w:tcPr>
          <w:p>
            <w:pPr>
              <w:spacing w:after="0"/>
              <w:rPr>
                <w:sz w:val="17"/>
                <w:szCs w:val="17"/>
                <w:color w:val="auto"/>
              </w:rPr>
            </w:pPr>
          </w:p>
        </w:tc>
        <w:tc>
          <w:tcPr>
            <w:tcW w:w="66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Merrill Lynch Growth Fund for Investment and Retirement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2 (b)</w:t>
            </w:r>
          </w:p>
        </w:tc>
        <w:tc>
          <w:tcPr>
            <w:tcW w:w="662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203"/>
        </w:trPr>
        <w:tc>
          <w:tcPr>
            <w:tcW w:w="1280" w:type="dxa"/>
            <w:vAlign w:val="bottom"/>
          </w:tcPr>
          <w:p>
            <w:pPr>
              <w:spacing w:after="0"/>
              <w:rPr>
                <w:sz w:val="17"/>
                <w:szCs w:val="17"/>
                <w:color w:val="auto"/>
              </w:rPr>
            </w:pPr>
          </w:p>
        </w:tc>
        <w:tc>
          <w:tcPr>
            <w:tcW w:w="66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80" w:type="dxa"/>
            <w:vAlign w:val="bottom"/>
          </w:tcPr>
          <w:p>
            <w:pPr>
              <w:spacing w:after="0"/>
              <w:rPr>
                <w:sz w:val="17"/>
                <w:szCs w:val="17"/>
                <w:color w:val="auto"/>
              </w:rPr>
            </w:pPr>
          </w:p>
        </w:tc>
        <w:tc>
          <w:tcPr>
            <w:tcW w:w="66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Merrill Lynch Asset Management, L.P.</w:t>
            </w:r>
          </w:p>
        </w:tc>
      </w:tr>
      <w:tr>
        <w:trPr>
          <w:trHeight w:val="203"/>
        </w:trPr>
        <w:tc>
          <w:tcPr>
            <w:tcW w:w="128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800 Scudders Mill Road</w:t>
            </w:r>
          </w:p>
        </w:tc>
        <w:tc>
          <w:tcPr>
            <w:tcW w:w="388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Plainsboro, New Jersey</w:t>
            </w:r>
          </w:p>
        </w:tc>
        <w:tc>
          <w:tcPr>
            <w:tcW w:w="3880" w:type="dxa"/>
            <w:vAlign w:val="bottom"/>
          </w:tcPr>
          <w:p>
            <w:pPr>
              <w:jc w:val="right"/>
              <w:ind w:right="3272"/>
              <w:spacing w:after="0" w:line="203" w:lineRule="exact"/>
              <w:rPr>
                <w:sz w:val="20"/>
                <w:szCs w:val="20"/>
                <w:color w:val="auto"/>
              </w:rPr>
            </w:pPr>
            <w:r>
              <w:rPr>
                <w:rFonts w:ascii="Courier New" w:cs="Courier New" w:eastAsia="Courier New" w:hAnsi="Courier New"/>
                <w:sz w:val="18"/>
                <w:szCs w:val="18"/>
                <w:color w:val="auto"/>
                <w:w w:val="92"/>
              </w:rPr>
              <w:t>08536</w:t>
            </w:r>
          </w:p>
        </w:tc>
      </w:tr>
      <w:tr>
        <w:trPr>
          <w:trHeight w:val="405"/>
        </w:trPr>
        <w:tc>
          <w:tcPr>
            <w:tcW w:w="1280" w:type="dxa"/>
            <w:vAlign w:val="bottom"/>
          </w:tcPr>
          <w:p>
            <w:pPr>
              <w:spacing w:after="0"/>
              <w:rPr>
                <w:sz w:val="24"/>
                <w:szCs w:val="24"/>
                <w:color w:val="auto"/>
              </w:rPr>
            </w:pPr>
          </w:p>
        </w:tc>
        <w:tc>
          <w:tcPr>
            <w:tcW w:w="66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Merrill Lynch Growth Fund for Investment and Retirement</w:t>
            </w:r>
          </w:p>
        </w:tc>
      </w:tr>
      <w:tr>
        <w:trPr>
          <w:trHeight w:val="203"/>
        </w:trPr>
        <w:tc>
          <w:tcPr>
            <w:tcW w:w="128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800 Scudders Mill Road</w:t>
            </w:r>
          </w:p>
        </w:tc>
        <w:tc>
          <w:tcPr>
            <w:tcW w:w="388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Plainsboro, New Jersey</w:t>
            </w:r>
          </w:p>
        </w:tc>
        <w:tc>
          <w:tcPr>
            <w:tcW w:w="3880" w:type="dxa"/>
            <w:vAlign w:val="bottom"/>
          </w:tcPr>
          <w:p>
            <w:pPr>
              <w:jc w:val="right"/>
              <w:ind w:right="3272"/>
              <w:spacing w:after="0" w:line="203" w:lineRule="exact"/>
              <w:rPr>
                <w:sz w:val="20"/>
                <w:szCs w:val="20"/>
                <w:color w:val="auto"/>
              </w:rPr>
            </w:pPr>
            <w:r>
              <w:rPr>
                <w:rFonts w:ascii="Courier New" w:cs="Courier New" w:eastAsia="Courier New" w:hAnsi="Courier New"/>
                <w:sz w:val="18"/>
                <w:szCs w:val="18"/>
                <w:color w:val="auto"/>
                <w:w w:val="92"/>
              </w:rPr>
              <w:t>08536</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2 (c)</w:t>
            </w:r>
          </w:p>
        </w:tc>
        <w:tc>
          <w:tcPr>
            <w:tcW w:w="2740" w:type="dxa"/>
            <w:vAlign w:val="bottom"/>
          </w:tcPr>
          <w:p>
            <w:pPr>
              <w:ind w:left="200"/>
              <w:spacing w:after="0"/>
              <w:rPr>
                <w:sz w:val="20"/>
                <w:szCs w:val="20"/>
                <w:color w:val="auto"/>
              </w:rPr>
            </w:pPr>
            <w:r>
              <w:rPr>
                <w:rFonts w:ascii="Courier New" w:cs="Courier New" w:eastAsia="Courier New" w:hAnsi="Courier New"/>
                <w:sz w:val="18"/>
                <w:szCs w:val="18"/>
                <w:color w:val="auto"/>
              </w:rPr>
              <w:t>Citizenship:</w:t>
            </w:r>
          </w:p>
        </w:tc>
        <w:tc>
          <w:tcPr>
            <w:tcW w:w="388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388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66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See Item 4 of Cover Pages</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2 (d)</w:t>
            </w:r>
          </w:p>
        </w:tc>
        <w:tc>
          <w:tcPr>
            <w:tcW w:w="66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1280" w:type="dxa"/>
            <w:vAlign w:val="bottom"/>
          </w:tcPr>
          <w:p>
            <w:pPr>
              <w:spacing w:after="0"/>
              <w:rPr>
                <w:sz w:val="17"/>
                <w:szCs w:val="17"/>
                <w:color w:val="auto"/>
              </w:rPr>
            </w:pPr>
          </w:p>
        </w:tc>
        <w:tc>
          <w:tcPr>
            <w:tcW w:w="66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4"/>
                <w:szCs w:val="24"/>
                <w:color w:val="auto"/>
              </w:rPr>
            </w:pPr>
          </w:p>
        </w:tc>
        <w:tc>
          <w:tcPr>
            <w:tcW w:w="274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3880" w:type="dxa"/>
            <w:vAlign w:val="bottom"/>
          </w:tcPr>
          <w:p>
            <w:pPr>
              <w:spacing w:after="0"/>
              <w:rPr>
                <w:sz w:val="24"/>
                <w:szCs w:val="24"/>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2 (e)</w:t>
            </w:r>
          </w:p>
        </w:tc>
        <w:tc>
          <w:tcPr>
            <w:tcW w:w="2740" w:type="dxa"/>
            <w:vAlign w:val="bottom"/>
          </w:tcPr>
          <w:p>
            <w:pPr>
              <w:ind w:left="200"/>
              <w:spacing w:after="0"/>
              <w:rPr>
                <w:sz w:val="20"/>
                <w:szCs w:val="20"/>
                <w:color w:val="auto"/>
              </w:rPr>
            </w:pPr>
            <w:r>
              <w:rPr>
                <w:rFonts w:ascii="Courier New" w:cs="Courier New" w:eastAsia="Courier New" w:hAnsi="Courier New"/>
                <w:sz w:val="18"/>
                <w:szCs w:val="18"/>
                <w:color w:val="auto"/>
              </w:rPr>
              <w:t>CUSIP Number:</w:t>
            </w:r>
          </w:p>
        </w:tc>
        <w:tc>
          <w:tcPr>
            <w:tcW w:w="388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3880" w:type="dxa"/>
            <w:vAlign w:val="bottom"/>
          </w:tcPr>
          <w:p>
            <w:pPr>
              <w:spacing w:after="0"/>
              <w:rPr>
                <w:sz w:val="17"/>
                <w:szCs w:val="17"/>
                <w:color w:val="auto"/>
              </w:rPr>
            </w:pPr>
          </w:p>
        </w:tc>
      </w:tr>
    </w:tbl>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03822210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Merrill Lynch Asset Management, L.P. (d/b/a Merrill Lynch Asset Management ("MLAM")) is an investment adviser registered under (S) 203 of the Investment Adviser Act of 1940. Merrill Lynch Growth Fund for Investment and Retirement (the "Fund") is an investment company registered under Section 8 of the Investment Company Act of 1940.</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7 Pages</w:t>
      </w:r>
    </w:p>
    <w:p>
      <w:pPr>
        <w:ind w:left="3800"/>
        <w:spacing w:after="0" w:line="238" w:lineRule="auto"/>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60" w:space="720"/>
            <w:col w:w="8639"/>
          </w:cols>
          <w:pgMar w:left="240" w:top="723" w:right="1440" w:bottom="1440" w:gutter="0" w:footer="0" w:header="0"/>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 Amount Beneficially Owned:</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See Item 9 of Cover Pages. Pursuant to (S) 240.13d-4, MLAM and the Fund disclaim beneficial ownership of the securities of Applied Materials, Inc. (the "Issuer") referred to herein, and the filing of this Schedule 13G shall not be construed as an admission that MLAM is, for the purposes of Section 13(d) or 13(g) of the Securities Exchange Act of 1934 (the "Act"), the beneficial owner of any securities of the Issuer covered by this statement, other than certain securities of the issues held in MLPF&amp;S proprietary accounts.</w:t>
      </w:r>
    </w:p>
    <w:p>
      <w:pPr>
        <w:spacing w:after="0" w:line="385"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Item 11 of Cover Pages</w:t>
      </w:r>
    </w:p>
    <w:p>
      <w:pPr>
        <w:spacing w:after="0" w:line="201" w:lineRule="exact"/>
        <w:rPr>
          <w:sz w:val="20"/>
          <w:szCs w:val="20"/>
          <w:color w:val="auto"/>
        </w:rPr>
      </w:pPr>
    </w:p>
    <w:p>
      <w:pPr>
        <w:ind w:left="2000" w:hanging="412"/>
        <w:spacing w:after="0"/>
        <w:tabs>
          <w:tab w:leader="none" w:pos="20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740" w:right="3479" w:hanging="730"/>
        <w:spacing w:after="0" w:line="470" w:lineRule="auto"/>
        <w:tabs>
          <w:tab w:leader="none" w:pos="2424"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1" w:lineRule="exact"/>
        <w:rPr>
          <w:rFonts w:ascii="Courier New" w:cs="Courier New" w:eastAsia="Courier New" w:hAnsi="Courier New"/>
          <w:sz w:val="18"/>
          <w:szCs w:val="18"/>
          <w:color w:val="auto"/>
        </w:rPr>
      </w:pPr>
    </w:p>
    <w:p>
      <w:pPr>
        <w:ind w:left="2740" w:right="3159" w:hanging="730"/>
        <w:spacing w:after="0" w:line="470" w:lineRule="auto"/>
        <w:tabs>
          <w:tab w:leader="none" w:pos="2529"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Cover Pages</w:t>
      </w:r>
    </w:p>
    <w:p>
      <w:pPr>
        <w:spacing w:after="0" w:line="11" w:lineRule="exact"/>
        <w:rPr>
          <w:rFonts w:ascii="Courier New" w:cs="Courier New" w:eastAsia="Courier New" w:hAnsi="Courier New"/>
          <w:sz w:val="18"/>
          <w:szCs w:val="18"/>
          <w:color w:val="auto"/>
        </w:rPr>
      </w:pPr>
    </w:p>
    <w:p>
      <w:pPr>
        <w:ind w:left="2740" w:right="1879" w:hanging="730"/>
        <w:spacing w:after="0" w:line="470" w:lineRule="auto"/>
        <w:tabs>
          <w:tab w:leader="none" w:pos="2635"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Cover Pages</w:t>
      </w:r>
    </w:p>
    <w:p>
      <w:pPr>
        <w:spacing w:after="0" w:line="11" w:lineRule="exact"/>
        <w:rPr>
          <w:rFonts w:ascii="Courier New" w:cs="Courier New" w:eastAsia="Courier New" w:hAnsi="Courier New"/>
          <w:sz w:val="18"/>
          <w:szCs w:val="18"/>
          <w:color w:val="auto"/>
        </w:rPr>
      </w:pPr>
    </w:p>
    <w:p>
      <w:pPr>
        <w:ind w:left="2540" w:hanging="530"/>
        <w:spacing w:after="0"/>
        <w:tabs>
          <w:tab w:leader="none" w:pos="254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21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See Item 8 of Cover Pages</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MLAM is an investment adviser registered under Section 203 of the Investment Advisers Act of 1940 and acts as an investment adviser to investment companies registered under Section 8 of the Investment Company Act of 1940. With respect to securities held by those investment companies, several persons have the right to receive, or the power to direct the receipt of dividends from, or the proceeds from the sale of, such securities. No such person's interest relates to more than 5% of the class of securities herein.</w:t>
      </w: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7 Pages</w:t>
      </w:r>
    </w:p>
    <w:p>
      <w:pPr>
        <w:ind w:left="3800"/>
        <w:spacing w:after="0" w:line="238" w:lineRule="auto"/>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723" w:right="1440" w:bottom="1440" w:gutter="0" w:footer="0" w:header="0"/>
          <w:type w:val="continuous"/>
        </w:sectPr>
      </w:pPr>
    </w:p>
    <w:bookmarkStart w:id="5" w:name="page6"/>
    <w:bookmarkEnd w:id="5"/>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Identification and Classification of the Subsidiary Which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the Security Being Reported on by the Parent Holding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860" w:space="720"/>
            <w:col w:w="8639"/>
          </w:cols>
          <w:pgMar w:left="240" w:top="717" w:right="1440" w:bottom="1440" w:gutter="0" w:footer="0" w:header="0"/>
        </w:sectPr>
      </w:pPr>
    </w:p>
    <w:p>
      <w:pPr>
        <w:spacing w:after="0" w:line="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See Exhibit A</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60" w:space="720"/>
            <w:col w:w="8639"/>
          </w:cols>
          <w:pgMar w:left="240" w:top="717" w:right="1440" w:bottom="144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60" w:space="720"/>
            <w:col w:w="8639"/>
          </w:cols>
          <w:pgMar w:left="240" w:top="717" w:right="1440" w:bottom="144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860" w:space="720"/>
            <w:col w:w="8639"/>
          </w:cols>
          <w:pgMar w:left="240" w:top="717" w:right="1440" w:bottom="1440" w:gutter="0" w:footer="0" w:header="0"/>
          <w:type w:val="continuous"/>
        </w:sectPr>
      </w:pPr>
    </w:p>
    <w:p>
      <w:pPr>
        <w:spacing w:after="0" w:line="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By signing below each of the undersigned certifies that, to the best</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their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pacing w:after="0" w:line="203" w:lineRule="exact"/>
        <w:rPr>
          <w:sz w:val="20"/>
          <w:szCs w:val="20"/>
          <w:color w:val="auto"/>
        </w:rPr>
      </w:pPr>
    </w:p>
    <w:p>
      <w:pPr>
        <w:spacing w:after="0"/>
        <w:tabs>
          <w:tab w:leader="none" w:pos="720" w:val="left"/>
          <w:tab w:leader="none" w:pos="2520" w:val="left"/>
        </w:tabs>
        <w:rPr>
          <w:sz w:val="20"/>
          <w:szCs w:val="20"/>
          <w:color w:val="auto"/>
        </w:rPr>
      </w:pPr>
      <w:r>
        <w:rPr>
          <w:rFonts w:ascii="Courier New" w:cs="Courier New" w:eastAsia="Courier New" w:hAnsi="Courier New"/>
          <w:sz w:val="18"/>
          <w:szCs w:val="18"/>
          <w:color w:val="auto"/>
        </w:rPr>
        <w:t>Date:</w:t>
        <w:tab/>
        <w:t>March 2, 1994</w:t>
      </w:r>
      <w:r>
        <w:rPr>
          <w:sz w:val="20"/>
          <w:szCs w:val="20"/>
          <w:color w:val="auto"/>
        </w:rPr>
        <w:tab/>
      </w:r>
      <w:r>
        <w:rPr>
          <w:rFonts w:ascii="Courier New" w:cs="Courier New" w:eastAsia="Courier New" w:hAnsi="Courier New"/>
          <w:sz w:val="16"/>
          <w:szCs w:val="16"/>
          <w:color w:val="auto"/>
        </w:rPr>
        <w:t>Merrill Lynch Asset Management, L.P.</w:t>
      </w:r>
    </w:p>
    <w:p>
      <w:pPr>
        <w:ind w:left="3280"/>
        <w:spacing w:after="0" w:line="238" w:lineRule="auto"/>
        <w:tabs>
          <w:tab w:leader="none" w:pos="3780" w:val="left"/>
        </w:tabs>
        <w:rPr>
          <w:sz w:val="20"/>
          <w:szCs w:val="20"/>
          <w:color w:val="auto"/>
        </w:rPr>
      </w:pPr>
      <w:r>
        <w:rPr>
          <w:rFonts w:ascii="Courier New" w:cs="Courier New" w:eastAsia="Courier New" w:hAnsi="Courier New"/>
          <w:sz w:val="18"/>
          <w:szCs w:val="18"/>
          <w:color w:val="auto"/>
        </w:rPr>
        <w:t>By:</w:t>
        <w:tab/>
        <w:t>Princeton Services, Inc. (General Partner)</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/s/David L. Dick</w:t>
      </w:r>
    </w:p>
    <w:p>
      <w:pPr>
        <w:ind w:left="3280"/>
        <w:spacing w:after="0" w:line="238" w:lineRule="auto"/>
        <w:rPr>
          <w:sz w:val="20"/>
          <w:szCs w:val="20"/>
          <w:color w:val="auto"/>
        </w:rPr>
      </w:pPr>
      <w:r>
        <w:rPr>
          <w:rFonts w:ascii="Courier New" w:cs="Courier New" w:eastAsia="Courier New" w:hAnsi="Courier New"/>
          <w:sz w:val="18"/>
          <w:szCs w:val="18"/>
          <w:color w:val="auto"/>
        </w:rPr>
        <w:t>Name: David L. Dick</w:t>
      </w:r>
    </w:p>
    <w:p>
      <w:pPr>
        <w:ind w:left="3280"/>
        <w:spacing w:after="0"/>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Merrill Lynch Growth Fund for Investment</w:t>
      </w:r>
    </w:p>
    <w:p>
      <w:pPr>
        <w:ind w:left="3280"/>
        <w:spacing w:after="0" w:line="238" w:lineRule="auto"/>
        <w:rPr>
          <w:sz w:val="20"/>
          <w:szCs w:val="20"/>
          <w:color w:val="auto"/>
        </w:rPr>
      </w:pPr>
      <w:r>
        <w:rPr>
          <w:rFonts w:ascii="Courier New" w:cs="Courier New" w:eastAsia="Courier New" w:hAnsi="Courier New"/>
          <w:sz w:val="18"/>
          <w:szCs w:val="18"/>
          <w:color w:val="auto"/>
        </w:rPr>
        <w:t>and Retirement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/s/David L. Dick</w:t>
      </w:r>
    </w:p>
    <w:p>
      <w:pPr>
        <w:ind w:left="3280"/>
        <w:spacing w:after="0" w:line="238" w:lineRule="auto"/>
        <w:rPr>
          <w:sz w:val="20"/>
          <w:szCs w:val="20"/>
          <w:color w:val="auto"/>
        </w:rPr>
      </w:pPr>
      <w:r>
        <w:rPr>
          <w:rFonts w:ascii="Courier New" w:cs="Courier New" w:eastAsia="Courier New" w:hAnsi="Courier New"/>
          <w:sz w:val="18"/>
          <w:szCs w:val="18"/>
          <w:color w:val="auto"/>
        </w:rPr>
        <w:t>Name: David L. Dick</w:t>
      </w:r>
    </w:p>
    <w:p>
      <w:pPr>
        <w:ind w:left="3280"/>
        <w:spacing w:after="0"/>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w:t>
      </w:r>
    </w:p>
    <w:p>
      <w:pPr>
        <w:spacing w:after="0" w:line="207" w:lineRule="exact"/>
        <w:rPr>
          <w:sz w:val="20"/>
          <w:szCs w:val="20"/>
          <w:color w:val="auto"/>
        </w:rPr>
      </w:pPr>
    </w:p>
    <w:p>
      <w:pPr>
        <w:ind w:right="1879" w:firstLine="8"/>
        <w:spacing w:after="0" w:line="237" w:lineRule="auto"/>
        <w:tabs>
          <w:tab w:leader="none" w:pos="21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February 10, 1994, included as an exhibit to Schedule 13G filed with the Securities and Exchange Commission by Merrill Lynch &amp; Co., Inc., et. al. on February 14, 1994 with respect to Dial REIT Inc.</w:t>
      </w:r>
    </w:p>
    <w:p>
      <w:pPr>
        <w:spacing w:after="0" w:line="207" w:lineRule="exact"/>
        <w:rPr>
          <w:sz w:val="20"/>
          <w:szCs w:val="20"/>
          <w:color w:val="auto"/>
        </w:rPr>
      </w:pPr>
    </w:p>
    <w:p>
      <w:pPr>
        <w:jc w:val="both"/>
        <w:ind w:right="1879" w:firstLine="8"/>
        <w:spacing w:after="0" w:line="237" w:lineRule="auto"/>
        <w:tabs>
          <w:tab w:leader="none" w:pos="316"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February 10, 1994, included as an exhibit to Schedule 13G filed with the Securities and Exchange Commission by Merrill Lynch &amp; Co., Inc., et. al. on February 14, 1994 with respect to Cirrus Logic Inc.</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7 Pages</w:t>
      </w:r>
    </w:p>
    <w:p>
      <w:pPr>
        <w:ind w:left="3800"/>
        <w:spacing w:after="0" w:line="238" w:lineRule="auto"/>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type w:val="continuous"/>
        </w:sectPr>
      </w:pPr>
    </w:p>
    <w:bookmarkStart w:id="6" w:name="page7"/>
    <w:bookmarkEnd w:id="6"/>
    <w:p>
      <w:pPr>
        <w:ind w:left="2860"/>
        <w:spacing w:after="0"/>
        <w:rPr>
          <w:sz w:val="20"/>
          <w:szCs w:val="20"/>
          <w:color w:val="auto"/>
        </w:rPr>
      </w:pPr>
      <w:r>
        <w:rPr>
          <w:rFonts w:ascii="Courier New" w:cs="Courier New" w:eastAsia="Courier New" w:hAnsi="Courier New"/>
          <w:sz w:val="18"/>
          <w:szCs w:val="18"/>
          <w:color w:val="auto"/>
        </w:rPr>
        <w:t>EXHIBIT A TO SCHEDULE 13G</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ITEM 7 DISCLOSURE RESPECTING SUBSIDIARIES</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MLAM, a Delaware limited partnership with its principal place of business at 800 Scudders Mill Road, Plainsboro, New Jersey, is an investment adviser registered under Section 203 of the Investment Advisers Act of 1940. MLAM may be deemed the beneficial owner of 3.7% of the common stock outstanding of Applied Materials, Inc. as a result of acting as investment adviser to several investment companies registered under Section 8 of the Investment Company Act of 1940. No one investment company advised by MLAM owns more than 5% of the securities of Applied Materials, Inc.</w:t>
      </w: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7 Pages</w:t>
      </w:r>
    </w:p>
    <w:p>
      <w:pPr>
        <w:ind w:left="3800"/>
        <w:spacing w:after="0" w:line="238" w:lineRule="auto"/>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lvl w:ilvl="1">
      <w:lvlJc w:val="left"/>
      <w:lvlText w:val="%2"/>
      <w:numFmt w:val="upperLetter"/>
      <w:start w:val="1"/>
    </w:lvl>
  </w:abstractNum>
  <w:abstractNum w:abstractNumId="4">
    <w:nsid w:val="41A7C4C9"/>
    <w:multiLevelType w:val="hybridMultilevel"/>
    <w:lvl w:ilvl="0">
      <w:lvlJc w:val="left"/>
      <w:lvlText w:val="-"/>
      <w:numFmt w:val="bullet"/>
      <w:start w:val="1"/>
    </w:lvl>
    <w:lvl w:ilvl="1">
      <w:lvlJc w:val="left"/>
      <w:lvlText w:val="(%2)"/>
      <w:numFmt w:val="lowerLetter"/>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lvl w:ilvl="1">
      <w:lvlJc w:val="left"/>
      <w:lvlText w:val="*"/>
      <w:numFmt w:val="bullet"/>
      <w:start w:val="1"/>
    </w:lvl>
  </w:abstractNum>
  <w:abstractNum w:abstractNumId="13">
    <w:nsid w:val="62BBD95A"/>
    <w:multiLevelType w:val="hybridMultilevel"/>
    <w:lvl w:ilvl="0">
      <w:lvlJc w:val="left"/>
      <w:lvlText w:val="-"/>
      <w:numFmt w:val="bullet"/>
      <w:start w:val="1"/>
    </w:lvl>
    <w:lvl w:ilvl="1">
      <w:lvlJc w:val="left"/>
      <w:lvlText w:val="%2"/>
      <w:numFmt w:val="decimal"/>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lowerLetter"/>
      <w:start w:val="3"/>
    </w:lvl>
    <w:lvl w:ilvl="1">
      <w:lvlJc w:val="left"/>
      <w:lvlText w:val="(%2)"/>
      <w:numFmt w:val="lowerRoman"/>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2019-12-20T04:04:57Z</dcterms:created>
  <dcterms:modified xsi:type="dcterms:W3CDTF">2019-12-20T04:04:57Z</dcterms:modified>
</cp:coreProperties>
</file>