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p>
      <w:pPr>
        <w:pStyle w:val="TextBody"/>
        <w:bidi w:val="0"/>
        <w:spacing w:lineRule="auto" w:line="288" w:before="80" w:after="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6"/>
        </w:rPr>
        <w:t>____________________________________________________________________</w:t>
      </w:r>
    </w:p>
    <w:p>
      <w:pPr>
        <w:pStyle w:val="TextBody"/>
        <w:bidi w:val="0"/>
        <w:spacing w:lineRule="auto" w:line="288" w:before="18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29, 2025</w:t>
      </w:r>
    </w:p>
    <w:p>
      <w:pPr>
        <w:pStyle w:val="TextBody"/>
        <w:bidi w:val="0"/>
        <w:spacing w:lineRule="auto" w:line="288" w:before="24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p>
      <w:pPr>
        <w:pStyle w:val="TextBody"/>
        <w:bidi w:val="0"/>
        <w:spacing w:lineRule="auto" w:line="288" w:before="80" w:after="283"/>
        <w:jc w:val="center"/>
        <w:rPr/>
      </w:pPr>
      <w:r>
        <w:rPr>
          <w:color w:val="000000"/>
        </w:rPr>
        <w:t> </w:t>
      </w:r>
      <w:r>
        <w:rPr>
          <w:rFonts w:ascii="Times New Roman;serif" w:hAnsi="Times New Roman;serif"/>
          <w:b/>
          <w:color w:val="000000"/>
          <w:sz w:val="48"/>
        </w:rPr>
        <w:t>Applied Materials,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000-06920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94-1655526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3050 Bowers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 Box 58039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 95052-8039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727-5555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240" w:after="283"/>
        <w:jc w:val="left"/>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29" w:type="dxa"/>
        <w:jc w:val="left"/>
        <w:tblInd w:w="0" w:type="dxa"/>
        <w:tblLayout w:type="fixed"/>
        <w:tblCellMar>
          <w:top w:w="28" w:type="dxa"/>
          <w:left w:w="28" w:type="dxa"/>
          <w:bottom w:w="28" w:type="dxa"/>
          <w:right w:w="28" w:type="dxa"/>
        </w:tblCellMar>
      </w:tblPr>
      <w:tblGrid>
        <w:gridCol w:w="1223"/>
        <w:gridCol w:w="1080"/>
        <w:gridCol w:w="1087"/>
        <w:gridCol w:w="424"/>
        <w:gridCol w:w="424"/>
        <w:gridCol w:w="426"/>
        <w:gridCol w:w="1014"/>
        <w:gridCol w:w="1014"/>
        <w:gridCol w:w="1437"/>
      </w:tblGrid>
      <w:tr>
        <w:trPr/>
        <w:tc>
          <w:tcPr>
            <w:tcW w:w="122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AMAT</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September 29, 2025, the U.S. Department of Commerce’s Bureau of Industry and Security issued a new rule that expands the list of companies subject to U.S. export restrictions (the “BIS Affiliates Rule”). Applied Materials, Inc. (“Applied”) expects that the BIS Affiliates Rule will further restrict its ability to export certain products and provide certain parts and services to specific China-based customers without a license.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Applied currently estimates that the impact of the BIS Affiliates Rule will reduce its net revenue for the fourth quarter of fiscal 2025 by approximately $110 million. In addition, Applied currently expects that the impact of the BIS Affiliates Rule will reduce its net revenue for fiscal 2026 by approximately $600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in this Form 8-K is being furnished and shall not be deemed “filed” for purposes of Section 18 of the Securities Exchange Act of 1934, as amended (the “Exchange Act”), or otherwise subject to liability under that section, and shall not be deemed to be incorporated by reference in any filing of Applied under the Securities Act of 1933, as amended, or the Exchange Act, unless expressly incorporated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report contains forward-looking statements, including those regarding the impact of new export regulations on our ability to export products and provide services to customers, and the impact on our business and results of operations for the fourth quarter of fiscal 2025 and for fiscal 2026. These statements and their underlying assumptions are subject to risks and uncertainties and are not guarantees of future performance. Factors that could cause actual results to differ materially from those expressed or implied by such statements include the implementation of export regulations and license requirements and their interpretation, and their impact on our ability to export products and provide services to customers and on our results of operations, and other risks and uncertainties described in Applied’s most recent Form 10-Q and other Securities and Exchange Commission filings. All forward-looking statements are based on management’s estimates, projections and assumptions as of the date hereof, and Applied assumes no obligation to update them.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54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9587" w:type="dxa"/>
        <w:jc w:val="left"/>
        <w:tblInd w:w="0" w:type="dxa"/>
        <w:tblLayout w:type="fixed"/>
        <w:tblCellMar>
          <w:top w:w="28" w:type="dxa"/>
          <w:left w:w="28" w:type="dxa"/>
          <w:bottom w:w="28" w:type="dxa"/>
          <w:right w:w="28" w:type="dxa"/>
        </w:tblCellMar>
      </w:tblPr>
      <w:tblGrid>
        <w:gridCol w:w="266"/>
        <w:gridCol w:w="234"/>
        <w:gridCol w:w="235"/>
        <w:gridCol w:w="544"/>
        <w:gridCol w:w="544"/>
        <w:gridCol w:w="546"/>
        <w:gridCol w:w="242"/>
        <w:gridCol w:w="242"/>
        <w:gridCol w:w="242"/>
        <w:gridCol w:w="1003"/>
        <w:gridCol w:w="1003"/>
        <w:gridCol w:w="1003"/>
        <w:gridCol w:w="1003"/>
        <w:gridCol w:w="1003"/>
        <w:gridCol w:w="147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2"/>
              </w:rPr>
              <w:br/>
            </w:r>
            <w:r>
              <w:rPr>
                <w:rFonts w:ascii="Times New Roman;serif" w:hAnsi="Times New Roman;serif"/>
                <w:b w:val="false"/>
                <w:color w:val="000000"/>
                <w:sz w:val="22"/>
              </w:rPr>
              <w:t>Applied Materials, Inc.</w:t>
              <w:br/>
              <w:t> (Registrant)</w:t>
              <w:br/>
              <w:t>  </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October 2, 2025</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4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Teri A. Little</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Teri A. Little</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Senior Vice President, Chief Legal Officer and Corporate Secretary</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4231</Characters>
  <CharactersWithSpaces>4904</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