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Raja Prabu 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APPLIED MATERIALS,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3050 BOWERS AVE., M/S 1268, PO BOX 58039</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APPLIED MATERIALS INC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AMAT</w:t>
      </w:r>
    </w:p>
    <w:p>
      <w:pPr>
        <w:spacing w:after="0"/>
        <w:rPr>
          <w:sz w:val="20"/>
          <w:szCs w:val="20"/>
          <w:color w:val="auto"/>
        </w:rPr>
      </w:pPr>
      <w:r>
        <w:rPr>
          <w:rFonts w:ascii="Times New Roman" w:cs="Times New Roman" w:eastAsia="Times New Roman" w:hAnsi="Times New Roman"/>
          <w:sz w:val="21"/>
          <w:szCs w:val="21"/>
          <w:color w:val="auto"/>
        </w:rPr>
        <w:t>]</w:t>
      </w: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06/18/2026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President, Semi. Products Grp.</w:t>
      </w:r>
    </w:p>
    <w:p>
      <w:pPr>
        <w:spacing w:after="0" w:line="562" w:lineRule="exact"/>
        <w:rPr>
          <w:sz w:val="24"/>
          <w:szCs w:val="24"/>
          <w:color w:val="auto"/>
        </w:rPr>
      </w:pPr>
    </w:p>
    <w:p>
      <w:pPr>
        <w:sectPr>
          <w:pgSz w:w="11900" w:h="16838" w:orient="portrait"/>
          <w:cols w:equalWidth="0" w:num="3">
            <w:col w:w="3620" w:space="300"/>
            <w:col w:w="3600" w:space="21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7"/>
            <w:vMerge w:val="continue"/>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18"/>
                <w:szCs w:val="18"/>
                <w:color w:val="auto"/>
              </w:rPr>
            </w:pPr>
          </w:p>
        </w:tc>
        <w:tc>
          <w:tcPr>
            <w:tcW w:w="1740" w:type="dxa"/>
            <w:vAlign w:val="bottom"/>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06/18/2026</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10,000</w:t>
            </w:r>
          </w:p>
        </w:tc>
        <w:tc>
          <w:tcPr>
            <w:tcW w:w="4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ind w:left="6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633.53</w:t>
            </w:r>
            <w:r>
              <w:rPr>
                <w:rFonts w:ascii="Times New Roman" w:cs="Times New Roman" w:eastAsia="Times New Roman" w:hAnsi="Times New Roman"/>
                <w:sz w:val="22"/>
                <w:szCs w:val="22"/>
                <w:color w:val="008000"/>
                <w:vertAlign w:val="superscript"/>
              </w:rPr>
              <w:t>(1)</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346,642</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80" w:type="dxa"/>
            <w:vAlign w:val="bottom"/>
            <w:tcBorders>
              <w:bottom w:val="single" w:sz="8" w:color="2C2C2C"/>
            </w:tcBorders>
            <w:gridSpan w:val="3"/>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00"/>
              <w:spacing w:after="0"/>
              <w:rPr>
                <w:sz w:val="20"/>
                <w:szCs w:val="20"/>
                <w:color w:val="auto"/>
              </w:rPr>
            </w:pPr>
            <w:r>
              <w:rPr>
                <w:rFonts w:ascii="Times New Roman" w:cs="Times New Roman" w:eastAsia="Times New Roman" w:hAnsi="Times New Roman"/>
                <w:sz w:val="17"/>
                <w:szCs w:val="17"/>
                <w:color w:val="0000FF"/>
              </w:rPr>
              <w:t>100,663</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of $633.51 and $633.79 per share. The reporting person undertakes to provide to Applied Materials, Inc. ("Applied"), any security holder of Applied, or the staff of the Securities and Exchange Commission, upon request, full information regarding the number of shares sold at each separate price set forth in footnote 1 to this Form 4.</w:t>
      </w:r>
    </w:p>
    <w:p>
      <w:pPr>
        <w:spacing w:after="0" w:line="20" w:lineRule="exact"/>
        <w:rPr>
          <w:rFonts w:ascii="Times New Roman" w:cs="Times New Roman" w:eastAsia="Times New Roman" w:hAnsi="Times New Roman"/>
          <w:sz w:val="13"/>
          <w:szCs w:val="13"/>
          <w:color w:val="008000"/>
        </w:rPr>
      </w:pPr>
    </w:p>
    <w:p>
      <w:pPr>
        <w:ind w:left="40" w:right="1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Number of shares includes 100,517 performance share units and restricted stock units previously reported that in the future will be converted on a one-for-one basis into shares of Applied common stock upon vesting, which vesting is scheduled to occur as follows: (a) 39,181 restricted stock units are scheduled to vest in installments in December of 2026 through 2028, and (b) 61,336 performance share units are scheduled to vest in installments in December of 2026 through 2028, which number of shares is the target amount, and the actual number of shares that may vest ranges from 0% to 200% of the target amount, depending on achievement of specified performance goals (all vesting is subject to continued employment through each applicable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To-Anh Nguyen, Attorney- </w:t>
      </w:r>
      <w:r>
        <w:rPr>
          <w:rFonts w:ascii="Times New Roman" w:cs="Times New Roman" w:eastAsia="Times New Roman" w:hAnsi="Times New Roman"/>
          <w:sz w:val="34"/>
          <w:szCs w:val="34"/>
          <w:color w:val="0000FF"/>
          <w:vertAlign w:val="subscript"/>
        </w:rPr>
        <w:t>06/22/2026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03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032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21738" TargetMode="External"/><Relationship Id="rId14" Type="http://schemas.openxmlformats.org/officeDocument/2006/relationships/hyperlink" Target="http://www.sec.gov/cgi-bin/browse-edgar?action=getcompany&amp;CIK=00000069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2026-06-22T16:49:27Z</dcterms:created>
  <dcterms:modified xsi:type="dcterms:W3CDTF">2026-06-22T16:49:27Z</dcterms:modified>
</cp:coreProperties>
</file>