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FORM 11- K</w:t>
      </w: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ANNUAL REPORT PURSUANT TO SECTION 15(d) OF THE</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5" w:lineRule="exact"/>
        <w:rPr>
          <w:sz w:val="24"/>
          <w:szCs w:val="24"/>
          <w:color w:val="auto"/>
        </w:rPr>
      </w:pPr>
    </w:p>
    <w:p>
      <w:pPr>
        <w:ind w:left="620" w:right="3539" w:hanging="359"/>
        <w:spacing w:after="0" w:line="258" w:lineRule="auto"/>
        <w:tabs>
          <w:tab w:leader="none" w:pos="600" w:val="left"/>
        </w:tabs>
        <w:rPr>
          <w:sz w:val="20"/>
          <w:szCs w:val="20"/>
          <w:color w:val="auto"/>
        </w:rPr>
      </w:pPr>
      <w:r>
        <w:rPr>
          <w:rFonts w:ascii="Courier New" w:cs="Courier New" w:eastAsia="Courier New" w:hAnsi="Courier New"/>
          <w:sz w:val="14"/>
          <w:szCs w:val="14"/>
          <w:color w:val="auto"/>
        </w:rPr>
        <w:t>/X/</w:t>
        <w:tab/>
        <w:t>Annual report pursuant to Section 15(d) of the Securities Exchange Act of 1934 (Fee required)</w:t>
      </w:r>
    </w:p>
    <w:p>
      <w:pPr>
        <w:spacing w:after="0" w:line="160"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For the fiscal year ended DECEMBER 31, 1994</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620" w:right="3539" w:hanging="351"/>
        <w:spacing w:after="0" w:line="258" w:lineRule="auto"/>
        <w:tabs>
          <w:tab w:leader="none" w:pos="44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15(d) of the Securities Exchange Act of 1934 (No fee required)</w:t>
      </w:r>
    </w:p>
    <w:p>
      <w:pPr>
        <w:spacing w:after="0" w:line="160"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For the transition period from ___________ to ___________ .</w:t>
      </w:r>
    </w:p>
    <w:p>
      <w:pPr>
        <w:spacing w:after="0" w:line="175" w:lineRule="exact"/>
        <w:rPr>
          <w:sz w:val="24"/>
          <w:szCs w:val="24"/>
          <w:color w:val="auto"/>
        </w:rPr>
      </w:pPr>
    </w:p>
    <w:p>
      <w:pPr>
        <w:ind w:left="520"/>
        <w:spacing w:after="0"/>
        <w:tabs>
          <w:tab w:leader="none" w:pos="2680" w:val="left"/>
        </w:tabs>
        <w:rPr>
          <w:sz w:val="20"/>
          <w:szCs w:val="20"/>
          <w:color w:val="auto"/>
        </w:rPr>
      </w:pPr>
      <w:r>
        <w:rPr>
          <w:rFonts w:ascii="Courier New" w:cs="Courier New" w:eastAsia="Courier New" w:hAnsi="Courier New"/>
          <w:sz w:val="14"/>
          <w:szCs w:val="14"/>
          <w:color w:val="auto"/>
        </w:rPr>
        <w:t>Commission file number</w:t>
        <w:tab/>
        <w:t>2-69114</w:t>
      </w:r>
    </w:p>
    <w:p>
      <w:pPr>
        <w:spacing w:after="0" w:line="175" w:lineRule="exact"/>
        <w:rPr>
          <w:sz w:val="24"/>
          <w:szCs w:val="24"/>
          <w:color w:val="auto"/>
        </w:rPr>
      </w:pPr>
    </w:p>
    <w:p>
      <w:pPr>
        <w:ind w:left="700" w:right="3539" w:hanging="344"/>
        <w:spacing w:after="0" w:line="258" w:lineRule="auto"/>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title of the plan and the address of the plan, if different from that of the issuer named below:</w:t>
      </w:r>
    </w:p>
    <w:p>
      <w:pPr>
        <w:spacing w:after="0" w:line="160"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APPLIED MATERIALS, INC. EMPLOYEE SAVINGS AND RETIREMENT PLAN.</w:t>
      </w:r>
    </w:p>
    <w:p>
      <w:pPr>
        <w:spacing w:after="0" w:line="175" w:lineRule="exact"/>
        <w:rPr>
          <w:sz w:val="24"/>
          <w:szCs w:val="24"/>
          <w:color w:val="auto"/>
        </w:rPr>
      </w:pPr>
    </w:p>
    <w:p>
      <w:pPr>
        <w:ind w:left="700" w:right="3799" w:hanging="344"/>
        <w:spacing w:after="0" w:line="258" w:lineRule="auto"/>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 of the securities held pursuant to the plan and the address of its principal executive office:</w:t>
      </w:r>
    </w:p>
    <w:p>
      <w:pPr>
        <w:spacing w:after="0" w:line="160"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APPLIED MATERIALS, INC.</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3050 Bowers Avenue</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Santa Clara, California 95054</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Page 1 of 15</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right="3279" w:firstLine="69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APPLIED MATERIALS, INC.</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EMPLOYEE SAVINGS AND RETIREMENT PLAN</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By /s/</w:t>
        <w:tab/>
        <w:t>Rosemary T. Elliott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Rosemary T. Elliott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 Global Human Resources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Chairman of the Corporate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Benefits Committee</w:t>
      </w:r>
    </w:p>
    <w:p>
      <w:pPr>
        <w:spacing w:after="0" w:line="200" w:lineRule="exact"/>
        <w:rPr>
          <w:sz w:val="20"/>
          <w:szCs w:val="20"/>
          <w:color w:val="auto"/>
        </w:rPr>
      </w:pPr>
    </w:p>
    <w:p>
      <w:pPr>
        <w:sectPr>
          <w:pgSz w:w="11900" w:h="16838" w:orient="portrait"/>
          <w:cols w:equalWidth="0" w:num="3">
            <w:col w:w="440" w:space="180"/>
            <w:col w:w="1880" w:space="720"/>
            <w:col w:w="7019"/>
          </w:cols>
          <w:pgMar w:left="220" w:top="2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286"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2080" w:type="dxa"/>
            <w:vAlign w:val="bottom"/>
          </w:tcPr>
          <w:p>
            <w:pPr>
              <w:ind w:left="940"/>
              <w:spacing w:after="0"/>
              <w:rPr>
                <w:sz w:val="20"/>
                <w:szCs w:val="20"/>
                <w:color w:val="auto"/>
              </w:rPr>
            </w:pPr>
            <w:r>
              <w:rPr>
                <w:rFonts w:ascii="Courier New" w:cs="Courier New" w:eastAsia="Courier New" w:hAnsi="Courier New"/>
                <w:sz w:val="14"/>
                <w:szCs w:val="14"/>
                <w:color w:val="auto"/>
              </w:rPr>
              <w:t>Sequentially</w:t>
            </w:r>
          </w:p>
        </w:tc>
      </w:tr>
      <w:tr>
        <w:trPr>
          <w:trHeight w:val="167"/>
        </w:trPr>
        <w:tc>
          <w:tcPr>
            <w:tcW w:w="7220" w:type="dxa"/>
            <w:vAlign w:val="bottom"/>
          </w:tcPr>
          <w:p>
            <w:pPr>
              <w:spacing w:after="0"/>
              <w:rPr>
                <w:sz w:val="14"/>
                <w:szCs w:val="14"/>
                <w:color w:val="auto"/>
              </w:rPr>
            </w:pPr>
          </w:p>
        </w:tc>
        <w:tc>
          <w:tcPr>
            <w:tcW w:w="2080" w:type="dxa"/>
            <w:vAlign w:val="bottom"/>
          </w:tcPr>
          <w:p>
            <w:pPr>
              <w:ind w:left="940"/>
              <w:spacing w:after="0"/>
              <w:rPr>
                <w:sz w:val="20"/>
                <w:szCs w:val="20"/>
                <w:color w:val="auto"/>
              </w:rPr>
            </w:pPr>
            <w:r>
              <w:rPr>
                <w:rFonts w:ascii="Courier New" w:cs="Courier New" w:eastAsia="Courier New" w:hAnsi="Courier New"/>
                <w:sz w:val="14"/>
                <w:szCs w:val="14"/>
                <w:color w:val="auto"/>
              </w:rPr>
              <w:t>Numbered Page</w:t>
            </w:r>
          </w:p>
        </w:tc>
      </w:tr>
      <w:tr>
        <w:trPr>
          <w:trHeight w:val="167"/>
        </w:trPr>
        <w:tc>
          <w:tcPr>
            <w:tcW w:w="7220" w:type="dxa"/>
            <w:vAlign w:val="bottom"/>
          </w:tcPr>
          <w:p>
            <w:pPr>
              <w:spacing w:after="0"/>
              <w:rPr>
                <w:sz w:val="14"/>
                <w:szCs w:val="14"/>
                <w:color w:val="auto"/>
              </w:rPr>
            </w:pPr>
          </w:p>
        </w:tc>
        <w:tc>
          <w:tcPr>
            <w:tcW w:w="208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Financial Statement</w:t>
            </w:r>
          </w:p>
        </w:tc>
        <w:tc>
          <w:tcPr>
            <w:tcW w:w="2080" w:type="dxa"/>
            <w:vAlign w:val="bottom"/>
          </w:tcPr>
          <w:p>
            <w:pPr>
              <w:spacing w:after="0"/>
              <w:rPr>
                <w:sz w:val="24"/>
                <w:szCs w:val="24"/>
                <w:color w:val="auto"/>
              </w:rPr>
            </w:pP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Statements of Net Assets Available for Benefits -</w:t>
            </w:r>
          </w:p>
        </w:tc>
        <w:tc>
          <w:tcPr>
            <w:tcW w:w="2080" w:type="dxa"/>
            <w:vAlign w:val="bottom"/>
          </w:tcPr>
          <w:p>
            <w:pPr>
              <w:spacing w:after="0"/>
              <w:rPr>
                <w:sz w:val="24"/>
                <w:szCs w:val="24"/>
                <w:color w:val="auto"/>
              </w:rPr>
            </w:pPr>
          </w:p>
        </w:tc>
      </w:tr>
      <w:tr>
        <w:trPr>
          <w:trHeight w:val="167"/>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1994 and 1993</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Statement of Changes in Net Assets Available for Benefits with Fund</w:t>
            </w:r>
          </w:p>
        </w:tc>
        <w:tc>
          <w:tcPr>
            <w:tcW w:w="2080" w:type="dxa"/>
            <w:vAlign w:val="bottom"/>
          </w:tcPr>
          <w:p>
            <w:pPr>
              <w:spacing w:after="0"/>
              <w:rPr>
                <w:sz w:val="24"/>
                <w:szCs w:val="24"/>
                <w:color w:val="auto"/>
              </w:rPr>
            </w:pPr>
          </w:p>
        </w:tc>
      </w:tr>
      <w:tr>
        <w:trPr>
          <w:trHeight w:val="167"/>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Information - year ended December 31, 1994</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Notes to Financial Statements</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Schedule 27a - Schedule of Assets Held for Investment</w:t>
            </w:r>
          </w:p>
        </w:tc>
        <w:tc>
          <w:tcPr>
            <w:tcW w:w="2080" w:type="dxa"/>
            <w:vAlign w:val="bottom"/>
          </w:tcPr>
          <w:p>
            <w:pPr>
              <w:spacing w:after="0"/>
              <w:rPr>
                <w:sz w:val="24"/>
                <w:szCs w:val="24"/>
                <w:color w:val="auto"/>
              </w:rPr>
            </w:pPr>
          </w:p>
        </w:tc>
      </w:tr>
      <w:tr>
        <w:trPr>
          <w:trHeight w:val="167"/>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Purposes - December 31, 1994</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334"/>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Schedule 27d - Schedule of Reportable Transactions - year ended</w:t>
            </w:r>
          </w:p>
        </w:tc>
        <w:tc>
          <w:tcPr>
            <w:tcW w:w="2080" w:type="dxa"/>
            <w:vAlign w:val="bottom"/>
          </w:tcPr>
          <w:p>
            <w:pPr>
              <w:spacing w:after="0"/>
              <w:rPr>
                <w:sz w:val="24"/>
                <w:szCs w:val="24"/>
                <w:color w:val="auto"/>
              </w:rPr>
            </w:pPr>
          </w:p>
        </w:tc>
      </w:tr>
      <w:tr>
        <w:trPr>
          <w:trHeight w:val="167"/>
        </w:trPr>
        <w:tc>
          <w:tcPr>
            <w:tcW w:w="722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1994</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Consent of Independent Accountants (Exhibit)</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668"/>
        </w:trPr>
        <w:tc>
          <w:tcPr>
            <w:tcW w:w="7220" w:type="dxa"/>
            <w:vAlign w:val="bottom"/>
          </w:tcPr>
          <w:p>
            <w:pPr>
              <w:ind w:left="3400"/>
              <w:spacing w:after="0"/>
              <w:rPr>
                <w:sz w:val="20"/>
                <w:szCs w:val="20"/>
                <w:color w:val="auto"/>
              </w:rPr>
            </w:pPr>
            <w:r>
              <w:rPr>
                <w:rFonts w:ascii="Courier New" w:cs="Courier New" w:eastAsia="Courier New" w:hAnsi="Courier New"/>
                <w:sz w:val="14"/>
                <w:szCs w:val="14"/>
                <w:color w:val="auto"/>
              </w:rPr>
              <w:t>3</w:t>
            </w:r>
          </w:p>
        </w:tc>
        <w:tc>
          <w:tcPr>
            <w:tcW w:w="20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4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To the Administrative Committee of the Applied Materials, Inc. Employee Savings and Retirement Plan:</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financial statements listed in the accompanying table of contents present fairly, in all material respects, the net assets available for benefits of the Applied Materials, Inc. Employee Savings and Retirement Plan at December 31, 1994 and 1993, and the changes in net assets available for benefits for the year ended December 31, 1994, in conformity with generally accepted accounting principles. These financial statements are the responsibility of the Administrative Committee;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additional information included in schedules 27a and 27d is presented for purposes of additional analysis and is not a required part of the basic financial statements but is additional information required by ERISA. The Fund Information in the statement of changes in net assets available for benefits is presented for purposes of additional analysis rather than to present the changes in net assets available for benefits of each fund. Schedules 27a and 27d and the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Jose,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22, 1995</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APPLIED MATERIALS,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EMPLOYEE SAVINGS AND RETIREMENT PLAN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1480"/>
              <w:spacing w:after="0"/>
              <w:rPr>
                <w:sz w:val="20"/>
                <w:szCs w:val="20"/>
                <w:color w:val="auto"/>
              </w:rPr>
            </w:pPr>
            <w:r>
              <w:rPr>
                <w:rFonts w:ascii="Courier New" w:cs="Courier New" w:eastAsia="Courier New" w:hAnsi="Courier New"/>
                <w:sz w:val="14"/>
                <w:szCs w:val="14"/>
                <w:color w:val="auto"/>
              </w:rPr>
              <w:t>STATEMENTS OF NET ASSETS AVAILABLE FOR BENEFITS</w:t>
            </w: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1"/>
        </w:trPr>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24"/>
                <w:szCs w:val="2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2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5820" w:type="dxa"/>
            <w:vAlign w:val="bottom"/>
          </w:tcPr>
          <w:p>
            <w:pPr>
              <w:spacing w:after="0"/>
              <w:rPr>
                <w:sz w:val="14"/>
                <w:szCs w:val="14"/>
                <w:color w:val="auto"/>
              </w:rPr>
            </w:pP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1,097,209</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25,015</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Investments, at fair value:</w:t>
            </w: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820" w:type="dxa"/>
            <w:vAlign w:val="bottom"/>
          </w:tcPr>
          <w:p>
            <w:pPr>
              <w:ind w:left="360"/>
              <w:spacing w:after="0"/>
              <w:rPr>
                <w:sz w:val="20"/>
                <w:szCs w:val="20"/>
                <w:color w:val="auto"/>
              </w:rPr>
            </w:pPr>
            <w:r>
              <w:rPr>
                <w:rFonts w:ascii="Courier New" w:cs="Courier New" w:eastAsia="Courier New" w:hAnsi="Courier New"/>
                <w:sz w:val="14"/>
                <w:szCs w:val="14"/>
                <w:color w:val="auto"/>
              </w:rPr>
              <w:t>In shares of registered investment companies:</w:t>
            </w: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5820" w:type="dxa"/>
            <w:vAlign w:val="bottom"/>
          </w:tcPr>
          <w:p>
            <w:pPr>
              <w:ind w:left="880"/>
              <w:spacing w:after="0"/>
              <w:rPr>
                <w:sz w:val="20"/>
                <w:szCs w:val="20"/>
                <w:color w:val="auto"/>
              </w:rPr>
            </w:pPr>
            <w:r>
              <w:rPr>
                <w:rFonts w:ascii="Courier New" w:cs="Courier New" w:eastAsia="Courier New" w:hAnsi="Courier New"/>
                <w:sz w:val="14"/>
                <w:szCs w:val="14"/>
                <w:color w:val="auto"/>
              </w:rPr>
              <w:t>Fidelity Retirement Government Money Market Portfolio</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7,758,813</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6,507,408</w:t>
            </w:r>
          </w:p>
        </w:tc>
      </w:tr>
      <w:tr>
        <w:trPr>
          <w:trHeight w:val="167"/>
        </w:trPr>
        <w:tc>
          <w:tcPr>
            <w:tcW w:w="5820" w:type="dxa"/>
            <w:vAlign w:val="bottom"/>
          </w:tcPr>
          <w:p>
            <w:pPr>
              <w:ind w:left="880"/>
              <w:spacing w:after="0"/>
              <w:rPr>
                <w:sz w:val="20"/>
                <w:szCs w:val="20"/>
                <w:color w:val="auto"/>
              </w:rPr>
            </w:pPr>
            <w:r>
              <w:rPr>
                <w:rFonts w:ascii="Courier New" w:cs="Courier New" w:eastAsia="Courier New" w:hAnsi="Courier New"/>
                <w:sz w:val="14"/>
                <w:szCs w:val="14"/>
                <w:color w:val="auto"/>
              </w:rPr>
              <w:t>Fidelity Equity Income Fund</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9,860,017</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7,746,077</w:t>
            </w:r>
          </w:p>
        </w:tc>
      </w:tr>
      <w:tr>
        <w:trPr>
          <w:trHeight w:val="167"/>
        </w:trPr>
        <w:tc>
          <w:tcPr>
            <w:tcW w:w="5820" w:type="dxa"/>
            <w:vAlign w:val="bottom"/>
          </w:tcPr>
          <w:p>
            <w:pPr>
              <w:ind w:left="880"/>
              <w:spacing w:after="0"/>
              <w:rPr>
                <w:sz w:val="20"/>
                <w:szCs w:val="20"/>
                <w:color w:val="auto"/>
              </w:rPr>
            </w:pPr>
            <w:r>
              <w:rPr>
                <w:rFonts w:ascii="Courier New" w:cs="Courier New" w:eastAsia="Courier New" w:hAnsi="Courier New"/>
                <w:sz w:val="14"/>
                <w:szCs w:val="14"/>
                <w:color w:val="auto"/>
              </w:rPr>
              <w:t>Fidelity Intermediate Bond Fund</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3,602,500</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3,192,980</w:t>
            </w:r>
          </w:p>
        </w:tc>
      </w:tr>
      <w:tr>
        <w:trPr>
          <w:trHeight w:val="167"/>
        </w:trPr>
        <w:tc>
          <w:tcPr>
            <w:tcW w:w="5820" w:type="dxa"/>
            <w:vAlign w:val="bottom"/>
          </w:tcPr>
          <w:p>
            <w:pPr>
              <w:ind w:left="880"/>
              <w:spacing w:after="0"/>
              <w:rPr>
                <w:sz w:val="20"/>
                <w:szCs w:val="20"/>
                <w:color w:val="auto"/>
              </w:rPr>
            </w:pPr>
            <w:r>
              <w:rPr>
                <w:rFonts w:ascii="Courier New" w:cs="Courier New" w:eastAsia="Courier New" w:hAnsi="Courier New"/>
                <w:sz w:val="14"/>
                <w:szCs w:val="14"/>
                <w:color w:val="auto"/>
              </w:rPr>
              <w:t>Fidelity Magellan Fund</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18,726,547</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15,231,355</w:t>
            </w:r>
          </w:p>
        </w:tc>
      </w:tr>
      <w:tr>
        <w:trPr>
          <w:trHeight w:val="167"/>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Applied Materials, Inc. Common Stock</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84,539,205</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67,767,460</w:t>
            </w:r>
          </w:p>
        </w:tc>
      </w:tr>
      <w:tr>
        <w:trPr>
          <w:trHeight w:val="167"/>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Participant notes receivable</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3,769,075</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2,423,428</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Contributions receivable</w:t>
            </w: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r>
      <w:tr>
        <w:trPr>
          <w:trHeight w:val="167"/>
        </w:trPr>
        <w:tc>
          <w:tcPr>
            <w:tcW w:w="5820" w:type="dxa"/>
            <w:vAlign w:val="bottom"/>
          </w:tcPr>
          <w:p>
            <w:pPr>
              <w:spacing w:after="0"/>
              <w:rPr>
                <w:sz w:val="14"/>
                <w:szCs w:val="14"/>
                <w:color w:val="auto"/>
              </w:rPr>
            </w:pP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129,353,366</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102,963,723</w:t>
            </w: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Forfeited matching contributions</w:t>
            </w:r>
          </w:p>
        </w:tc>
        <w:tc>
          <w:tcPr>
            <w:tcW w:w="48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345,808</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304,401</w:t>
            </w:r>
          </w:p>
        </w:tc>
      </w:tr>
      <w:tr>
        <w:trPr>
          <w:trHeight w:val="167"/>
        </w:trPr>
        <w:tc>
          <w:tcPr>
            <w:tcW w:w="5820" w:type="dxa"/>
            <w:vAlign w:val="bottom"/>
          </w:tcPr>
          <w:p>
            <w:pPr>
              <w:spacing w:after="0"/>
              <w:rPr>
                <w:sz w:val="14"/>
                <w:szCs w:val="14"/>
                <w:color w:val="auto"/>
              </w:rPr>
            </w:pP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129,007,558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102,659,322</w:t>
            </w:r>
          </w:p>
        </w:tc>
      </w:tr>
      <w:tr>
        <w:trPr>
          <w:trHeight w:val="167"/>
        </w:trPr>
        <w:tc>
          <w:tcPr>
            <w:tcW w:w="5820" w:type="dxa"/>
            <w:vAlign w:val="bottom"/>
          </w:tcPr>
          <w:p>
            <w:pPr>
              <w:spacing w:after="0"/>
              <w:rPr>
                <w:sz w:val="14"/>
                <w:szCs w:val="14"/>
                <w:color w:val="auto"/>
              </w:rPr>
            </w:pPr>
          </w:p>
        </w:tc>
        <w:tc>
          <w:tcPr>
            <w:tcW w:w="1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5" w:name="page6"/>
    <w:bookmarkEnd w:id="5"/>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APPLIED MATERIALS,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EMPLOYEE SAVINGS AND RETIREMENT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CHANGES IN NET ASSETS AVAILABLE FOR BENEFITS WITH FUND INFORMATION</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YEAR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 A</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 B</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FUND C</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FUND D</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Additions to net 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attributed to:</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Investment Income:</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Interest and dividends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283,051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892,294</w:t>
            </w:r>
          </w:p>
        </w:tc>
        <w:tc>
          <w:tcPr>
            <w:tcW w:w="138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236,286</w:t>
            </w:r>
          </w:p>
        </w:tc>
      </w:tr>
      <w:tr>
        <w:trPr>
          <w:trHeight w:val="167"/>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Loan interest</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Net realized and unrealized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960" w:type="dxa"/>
            <w:vAlign w:val="bottom"/>
          </w:tcPr>
          <w:p>
            <w:pPr>
              <w:ind w:left="1140"/>
              <w:spacing w:after="0"/>
              <w:rPr>
                <w:sz w:val="20"/>
                <w:szCs w:val="20"/>
                <w:color w:val="auto"/>
              </w:rPr>
            </w:pPr>
            <w:r>
              <w:rPr>
                <w:rFonts w:ascii="Courier New" w:cs="Courier New" w:eastAsia="Courier New" w:hAnsi="Courier New"/>
                <w:sz w:val="14"/>
                <w:szCs w:val="14"/>
                <w:color w:val="auto"/>
              </w:rPr>
              <w:t>appreciation (depreciation) in</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fair value of investments</w:t>
            </w:r>
          </w:p>
        </w:tc>
        <w:tc>
          <w:tcPr>
            <w:tcW w:w="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(900,751)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5,133,335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(296,795)</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283,051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(8,457)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5,133,335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(60,509)</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Participant contributions</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1,543,170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2,548,594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6,511,078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1,064,852</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Company and AKTA contributions</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7,185,243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Total additions</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1,826,221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2,540,137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18,829,656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1,004,343</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Deductions from net assets attributed to:</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Benefits paid to participants</w:t>
            </w:r>
          </w:p>
        </w:tc>
        <w:tc>
          <w:tcPr>
            <w:tcW w:w="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(297,376)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(245,915)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(2,011,326)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(127,055)</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Net increase prior to interfund</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960" w:type="dxa"/>
            <w:vAlign w:val="bottom"/>
          </w:tcPr>
          <w:p>
            <w:pPr>
              <w:ind w:left="960"/>
              <w:spacing w:after="0"/>
              <w:rPr>
                <w:sz w:val="20"/>
                <w:szCs w:val="20"/>
                <w:color w:val="auto"/>
              </w:rPr>
            </w:pPr>
            <w:r>
              <w:rPr>
                <w:rFonts w:ascii="Courier New" w:cs="Courier New" w:eastAsia="Courier New" w:hAnsi="Courier New"/>
                <w:sz w:val="14"/>
                <w:szCs w:val="14"/>
                <w:color w:val="auto"/>
              </w:rPr>
              <w:t>transfers</w:t>
            </w:r>
          </w:p>
        </w:tc>
        <w:tc>
          <w:tcPr>
            <w:tcW w:w="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1,528,845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2,294,222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16,818,330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877,288</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Interfund transfers</w:t>
            </w:r>
          </w:p>
        </w:tc>
        <w:tc>
          <w:tcPr>
            <w:tcW w:w="34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(318,846)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(180,282)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955,608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(467,768)</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Net increase</w:t>
            </w:r>
          </w:p>
        </w:tc>
        <w:tc>
          <w:tcPr>
            <w:tcW w:w="34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1,209,999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2,113,940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17,773,938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409,520</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Beginning of year</w:t>
            </w:r>
          </w:p>
        </w:tc>
        <w:tc>
          <w:tcPr>
            <w:tcW w:w="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6,203,007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7,746,077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67,862,475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3,192,980</w:t>
            </w:r>
          </w:p>
        </w:tc>
      </w:tr>
      <w:tr>
        <w:trPr>
          <w:trHeight w:val="334"/>
        </w:trPr>
        <w:tc>
          <w:tcPr>
            <w:tcW w:w="3960" w:type="dxa"/>
            <w:vAlign w:val="bottom"/>
          </w:tcPr>
          <w:p>
            <w:pPr>
              <w:spacing w:after="0"/>
              <w:rPr>
                <w:sz w:val="24"/>
                <w:szCs w:val="2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End of year</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$ 7,413,006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$ 9,860,017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85,636,413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$ 3,602,500</w:t>
            </w:r>
          </w:p>
        </w:tc>
      </w:tr>
      <w:tr>
        <w:trPr>
          <w:trHeight w:val="167"/>
        </w:trPr>
        <w:tc>
          <w:tcPr>
            <w:tcW w:w="39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PARTICIPANT</w:t>
            </w:r>
          </w:p>
        </w:tc>
        <w:tc>
          <w:tcPr>
            <w:tcW w:w="118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 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NOTES</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Additions to net assets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attributed to:</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Investment Income:</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Interest and dividends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644,180</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2,055,811</w:t>
            </w:r>
          </w:p>
        </w:tc>
      </w:tr>
      <w:tr>
        <w:trPr>
          <w:trHeight w:val="167"/>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Loan interest</w:t>
            </w:r>
          </w:p>
        </w:tc>
        <w:tc>
          <w:tcPr>
            <w:tcW w:w="3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199,875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199,875</w:t>
            </w:r>
          </w:p>
        </w:tc>
      </w:tr>
      <w:tr>
        <w:trPr>
          <w:trHeight w:val="334"/>
        </w:trPr>
        <w:tc>
          <w:tcPr>
            <w:tcW w:w="3960" w:type="dxa"/>
            <w:vAlign w:val="bottom"/>
          </w:tcPr>
          <w:p>
            <w:pPr>
              <w:ind w:left="880"/>
              <w:spacing w:after="0"/>
              <w:rPr>
                <w:sz w:val="20"/>
                <w:szCs w:val="20"/>
                <w:color w:val="auto"/>
              </w:rPr>
            </w:pPr>
            <w:r>
              <w:rPr>
                <w:rFonts w:ascii="Courier New" w:cs="Courier New" w:eastAsia="Courier New" w:hAnsi="Courier New"/>
                <w:sz w:val="14"/>
                <w:szCs w:val="14"/>
                <w:color w:val="auto"/>
              </w:rPr>
              <w:t>Net realized and unrealized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3960" w:type="dxa"/>
            <w:vAlign w:val="bottom"/>
          </w:tcPr>
          <w:p>
            <w:pPr>
              <w:ind w:left="1140"/>
              <w:spacing w:after="0"/>
              <w:rPr>
                <w:sz w:val="20"/>
                <w:szCs w:val="20"/>
                <w:color w:val="auto"/>
              </w:rPr>
            </w:pPr>
            <w:r>
              <w:rPr>
                <w:rFonts w:ascii="Courier New" w:cs="Courier New" w:eastAsia="Courier New" w:hAnsi="Courier New"/>
                <w:sz w:val="14"/>
                <w:szCs w:val="14"/>
                <w:color w:val="auto"/>
              </w:rPr>
              <w:t>appreciation (depreciation) in</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fair value of investments</w:t>
            </w:r>
          </w:p>
        </w:tc>
        <w:tc>
          <w:tcPr>
            <w:tcW w:w="3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(974,962)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2,960,827</w:t>
            </w:r>
          </w:p>
        </w:tc>
      </w:tr>
      <w:tr>
        <w:trPr>
          <w:trHeight w:val="167"/>
        </w:trPr>
        <w:tc>
          <w:tcPr>
            <w:tcW w:w="3960" w:type="dxa"/>
            <w:vAlign w:val="bottom"/>
          </w:tcPr>
          <w:p>
            <w:pPr>
              <w:spacing w:after="0"/>
              <w:rPr>
                <w:sz w:val="14"/>
                <w:szCs w:val="14"/>
                <w:color w:val="auto"/>
              </w:rPr>
            </w:pP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(330,782)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199,875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5,216,513</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Participant contributions</w:t>
            </w:r>
          </w:p>
        </w:tc>
        <w:tc>
          <w:tcPr>
            <w:tcW w:w="3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5,643,971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17,311,665</w:t>
            </w:r>
          </w:p>
        </w:tc>
      </w:tr>
      <w:tr>
        <w:trPr>
          <w:trHeight w:val="334"/>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Company and AKTA contributions</w:t>
            </w:r>
          </w:p>
        </w:tc>
        <w:tc>
          <w:tcPr>
            <w:tcW w:w="3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7,185,243</w:t>
            </w:r>
          </w:p>
        </w:tc>
      </w:tr>
      <w:tr>
        <w:trPr>
          <w:trHeight w:val="167"/>
        </w:trPr>
        <w:tc>
          <w:tcPr>
            <w:tcW w:w="3960" w:type="dxa"/>
            <w:vAlign w:val="bottom"/>
          </w:tcPr>
          <w:p>
            <w:pPr>
              <w:spacing w:after="0"/>
              <w:rPr>
                <w:sz w:val="14"/>
                <w:szCs w:val="14"/>
                <w:color w:val="auto"/>
              </w:rPr>
            </w:pP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960" w:type="dxa"/>
            <w:vAlign w:val="bottom"/>
          </w:tcPr>
          <w:p>
            <w:pPr>
              <w:ind w:left="620"/>
              <w:spacing w:after="0"/>
              <w:rPr>
                <w:sz w:val="20"/>
                <w:szCs w:val="20"/>
                <w:color w:val="auto"/>
              </w:rPr>
            </w:pPr>
            <w:r>
              <w:rPr>
                <w:rFonts w:ascii="Courier New" w:cs="Courier New" w:eastAsia="Courier New" w:hAnsi="Courier New"/>
                <w:sz w:val="14"/>
                <w:szCs w:val="14"/>
                <w:color w:val="auto"/>
              </w:rPr>
              <w:t>Total additions</w:t>
            </w:r>
          </w:p>
        </w:tc>
        <w:tc>
          <w:tcPr>
            <w:tcW w:w="300" w:type="dxa"/>
            <w:vAlign w:val="bottom"/>
          </w:tcPr>
          <w:p>
            <w:pPr>
              <w:spacing w:after="0"/>
              <w:rPr>
                <w:sz w:val="24"/>
                <w:szCs w:val="2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5,313,189</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199,875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29,713,421</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Deductions from net assets attributed to:</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9" w:orient="portrait"/>
          <w:cols w:equalWidth="0" w:num="1">
            <w:col w:w="10239"/>
          </w:cols>
          <w:pgMar w:left="220" w:top="28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ind w:left="620"/>
              <w:spacing w:after="0"/>
              <w:rPr>
                <w:sz w:val="20"/>
                <w:szCs w:val="20"/>
                <w:color w:val="auto"/>
              </w:rPr>
            </w:pPr>
            <w:r>
              <w:rPr>
                <w:rFonts w:ascii="Courier New" w:cs="Courier New" w:eastAsia="Courier New" w:hAnsi="Courier New"/>
                <w:sz w:val="14"/>
                <w:szCs w:val="14"/>
                <w:color w:val="auto"/>
              </w:rPr>
              <w:t>Benefits paid to participants</w:t>
            </w:r>
          </w:p>
        </w:tc>
        <w:tc>
          <w:tcPr>
            <w:tcW w:w="1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(592,800)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(90,713)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(3,365,185)</w:t>
            </w:r>
          </w:p>
        </w:tc>
      </w:tr>
      <w:tr>
        <w:trPr>
          <w:trHeight w:val="167"/>
        </w:trPr>
        <w:tc>
          <w:tcPr>
            <w:tcW w:w="374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620"/>
              <w:spacing w:after="0"/>
              <w:rPr>
                <w:sz w:val="20"/>
                <w:szCs w:val="20"/>
                <w:color w:val="auto"/>
              </w:rPr>
            </w:pPr>
            <w:r>
              <w:rPr>
                <w:rFonts w:ascii="Courier New" w:cs="Courier New" w:eastAsia="Courier New" w:hAnsi="Courier New"/>
                <w:sz w:val="14"/>
                <w:szCs w:val="14"/>
                <w:color w:val="auto"/>
              </w:rPr>
              <w:t>Net increase prior to interfund</w:t>
            </w: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740" w:type="dxa"/>
            <w:vAlign w:val="bottom"/>
          </w:tcPr>
          <w:p>
            <w:pPr>
              <w:ind w:left="960"/>
              <w:spacing w:after="0"/>
              <w:rPr>
                <w:sz w:val="20"/>
                <w:szCs w:val="20"/>
                <w:color w:val="auto"/>
              </w:rPr>
            </w:pPr>
            <w:r>
              <w:rPr>
                <w:rFonts w:ascii="Courier New" w:cs="Courier New" w:eastAsia="Courier New" w:hAnsi="Courier New"/>
                <w:sz w:val="14"/>
                <w:szCs w:val="14"/>
                <w:color w:val="auto"/>
              </w:rPr>
              <w:t>transfers</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4,720,389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109,162</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26,348,236</w:t>
            </w:r>
          </w:p>
        </w:tc>
      </w:tr>
      <w:tr>
        <w:trPr>
          <w:trHeight w:val="334"/>
        </w:trPr>
        <w:tc>
          <w:tcPr>
            <w:tcW w:w="3740" w:type="dxa"/>
            <w:vAlign w:val="bottom"/>
          </w:tcPr>
          <w:p>
            <w:pPr>
              <w:ind w:left="620"/>
              <w:spacing w:after="0"/>
              <w:rPr>
                <w:sz w:val="20"/>
                <w:szCs w:val="20"/>
                <w:color w:val="auto"/>
              </w:rPr>
            </w:pPr>
            <w:r>
              <w:rPr>
                <w:rFonts w:ascii="Courier New" w:cs="Courier New" w:eastAsia="Courier New" w:hAnsi="Courier New"/>
                <w:sz w:val="14"/>
                <w:szCs w:val="14"/>
                <w:color w:val="auto"/>
              </w:rPr>
              <w:t>Interfund transfers</w:t>
            </w:r>
          </w:p>
        </w:tc>
        <w:tc>
          <w:tcPr>
            <w:tcW w:w="1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(1,225,197)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1,236,485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620"/>
              <w:spacing w:after="0"/>
              <w:rPr>
                <w:sz w:val="20"/>
                <w:szCs w:val="20"/>
                <w:color w:val="auto"/>
              </w:rPr>
            </w:pPr>
            <w:r>
              <w:rPr>
                <w:rFonts w:ascii="Courier New" w:cs="Courier New" w:eastAsia="Courier New" w:hAnsi="Courier New"/>
                <w:sz w:val="14"/>
                <w:szCs w:val="14"/>
                <w:color w:val="auto"/>
              </w:rPr>
              <w:t>Net increase</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3,495,192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1,345,647</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26,348,236</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1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Beginning of year</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15,231,355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2,423,428</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102,659,322</w:t>
            </w:r>
          </w:p>
        </w:tc>
      </w:tr>
      <w:tr>
        <w:trPr>
          <w:trHeight w:val="334"/>
        </w:trPr>
        <w:tc>
          <w:tcPr>
            <w:tcW w:w="3740" w:type="dxa"/>
            <w:vAlign w:val="bottom"/>
          </w:tcPr>
          <w:p>
            <w:pPr>
              <w:spacing w:after="0"/>
              <w:rPr>
                <w:sz w:val="24"/>
                <w:szCs w:val="2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440"/>
              <w:spacing w:after="0"/>
              <w:rPr>
                <w:sz w:val="20"/>
                <w:szCs w:val="20"/>
                <w:color w:val="auto"/>
              </w:rPr>
            </w:pPr>
            <w:r>
              <w:rPr>
                <w:rFonts w:ascii="Courier New" w:cs="Courier New" w:eastAsia="Courier New" w:hAnsi="Courier New"/>
                <w:sz w:val="14"/>
                <w:szCs w:val="14"/>
                <w:color w:val="auto"/>
              </w:rPr>
              <w:t>End of year</w:t>
            </w: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$ 18,726,547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$ 3,769,075</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$129,007,558</w:t>
            </w:r>
          </w:p>
        </w:tc>
      </w:tr>
      <w:tr>
        <w:trPr>
          <w:trHeight w:val="167"/>
        </w:trPr>
        <w:tc>
          <w:tcPr>
            <w:tcW w:w="374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141" w:right="1440" w:bottom="1440" w:gutter="0" w:footer="0" w:header="0"/>
        </w:sectPr>
      </w:pPr>
    </w:p>
    <w:bookmarkStart w:id="7" w:name="page8"/>
    <w:bookmarkEnd w:id="7"/>
    <w:p>
      <w:pPr>
        <w:ind w:left="251"/>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2511"/>
        <w:spacing w:after="0"/>
        <w:rPr>
          <w:sz w:val="20"/>
          <w:szCs w:val="20"/>
          <w:color w:val="auto"/>
        </w:rPr>
      </w:pPr>
      <w:r>
        <w:rPr>
          <w:rFonts w:ascii="Courier New" w:cs="Courier New" w:eastAsia="Courier New" w:hAnsi="Courier New"/>
          <w:sz w:val="14"/>
          <w:szCs w:val="14"/>
          <w:color w:val="auto"/>
        </w:rPr>
        <w:t>APPLIED MATERIALS, INC.</w:t>
      </w:r>
    </w:p>
    <w:p>
      <w:pPr>
        <w:spacing w:after="0" w:line="8" w:lineRule="exact"/>
        <w:rPr>
          <w:sz w:val="20"/>
          <w:szCs w:val="20"/>
          <w:color w:val="auto"/>
        </w:rPr>
      </w:pPr>
    </w:p>
    <w:p>
      <w:pPr>
        <w:ind w:left="1911"/>
        <w:spacing w:after="0"/>
        <w:rPr>
          <w:sz w:val="20"/>
          <w:szCs w:val="20"/>
          <w:color w:val="auto"/>
        </w:rPr>
      </w:pPr>
      <w:r>
        <w:rPr>
          <w:rFonts w:ascii="Courier New" w:cs="Courier New" w:eastAsia="Courier New" w:hAnsi="Courier New"/>
          <w:sz w:val="14"/>
          <w:szCs w:val="14"/>
          <w:color w:val="auto"/>
        </w:rPr>
        <w:t>EMPLOYEE SAVINGS AND RETIREMENT PLAN</w:t>
      </w:r>
    </w:p>
    <w:p>
      <w:pPr>
        <w:spacing w:after="0" w:line="8" w:lineRule="exact"/>
        <w:rPr>
          <w:sz w:val="20"/>
          <w:szCs w:val="20"/>
          <w:color w:val="auto"/>
        </w:rPr>
      </w:pPr>
    </w:p>
    <w:p>
      <w:pPr>
        <w:ind w:left="2251"/>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ind w:left="431" w:hanging="431"/>
        <w:spacing w:after="0"/>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Policies:</w:t>
      </w:r>
    </w:p>
    <w:p>
      <w:pPr>
        <w:spacing w:after="0" w:line="175" w:lineRule="exact"/>
        <w:rPr>
          <w:rFonts w:ascii="Courier New" w:cs="Courier New" w:eastAsia="Courier New" w:hAnsi="Courier New"/>
          <w:sz w:val="14"/>
          <w:szCs w:val="14"/>
          <w:color w:val="auto"/>
        </w:rPr>
      </w:pPr>
    </w:p>
    <w:p>
      <w:pPr>
        <w:ind w:left="431"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accounts of the Applied Materials, Inc. Employee Savings and Retirement Plan (the Plan) are maintained on an accrual basis.</w:t>
      </w:r>
    </w:p>
    <w:p>
      <w:pPr>
        <w:spacing w:after="0" w:line="159"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investments are stated at fair value which is the value per unit as certified by the Plan Trustee for the Fidelity Retirement Government Money Market Portfolio (Fund A) and at the closing market price as of December 31 for the Fidelity Equity-Income shares (included in Fund B); Applied Materials, Inc. Common Stock (included in Fund C); Fidelity Intermediate Bond Fund shares (included in Fund D); and Fidelity Magellan Fund shares (included in Fund E). Participant notes are valued at cost which approximates fair value.</w:t>
      </w:r>
    </w:p>
    <w:p>
      <w:pPr>
        <w:spacing w:after="0" w:line="164"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are recorded when paid.</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 APPLIED MATERIALS, INC. EMPLOYEE SAVINGS AND RETIREMENT PLAN</w:t>
      </w:r>
    </w:p>
    <w:p>
      <w:pPr>
        <w:spacing w:after="0" w:line="175"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 defined contribution plan covering primarily all U.S. employees of Applied Materials, Inc. (the Company) and beginning in 1994, Applied Komatsu Technology America, Inc. (AKTA), working 20 or more hours per week. The Plan provides for retirement benefits to participants and is subject to the Employee Retirement Income Security Act of 1974 (ERISA). The Plan is intended to qualify for favorable tax treatment granted to qualified plans that meet the requirements of sections 401(a) and (k) of the Internal Revenue Code. As a result, Company and AKTA matching contributions, participant salary deferral contributions and any net earnings or gains on those contributions generally will not be taxable to the participant until they are distributed or withdrawn in accordance with the terms of the Plan.</w:t>
      </w:r>
    </w:p>
    <w:p>
      <w:pPr>
        <w:spacing w:after="0" w:line="331"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0"/>
          </w:cols>
          <w:pgMar w:left="229" w:top="28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Administrative Committee</w:t>
      </w:r>
    </w:p>
    <w:p>
      <w:pPr>
        <w:spacing w:after="0" w:line="175" w:lineRule="exact"/>
        <w:rPr>
          <w:sz w:val="20"/>
          <w:szCs w:val="20"/>
          <w:color w:val="auto"/>
        </w:rPr>
      </w:pPr>
    </w:p>
    <w:p>
      <w:pPr>
        <w:ind w:left="180" w:right="3379"/>
        <w:spacing w:after="0" w:line="254" w:lineRule="auto"/>
        <w:rPr>
          <w:sz w:val="20"/>
          <w:szCs w:val="20"/>
          <w:color w:val="auto"/>
        </w:rPr>
      </w:pPr>
      <w:r>
        <w:rPr>
          <w:rFonts w:ascii="Courier New" w:cs="Courier New" w:eastAsia="Courier New" w:hAnsi="Courier New"/>
          <w:sz w:val="14"/>
          <w:szCs w:val="14"/>
          <w:color w:val="auto"/>
        </w:rPr>
        <w:t>The Plan's Administrative committee consists of certain officers and executives of the Company. These members are appointed by the Benefits Committee of the Company to oversee the Plan and its performance on behalf of the participants.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Plan Administrator</w:t>
      </w:r>
    </w:p>
    <w:p>
      <w:pPr>
        <w:spacing w:after="0" w:line="175" w:lineRule="exact"/>
        <w:rPr>
          <w:sz w:val="20"/>
          <w:szCs w:val="20"/>
          <w:color w:val="auto"/>
        </w:rPr>
      </w:pPr>
    </w:p>
    <w:p>
      <w:pPr>
        <w:ind w:left="180" w:right="3459"/>
        <w:spacing w:after="0" w:line="254" w:lineRule="auto"/>
        <w:rPr>
          <w:sz w:val="20"/>
          <w:szCs w:val="20"/>
          <w:color w:val="auto"/>
        </w:rPr>
      </w:pPr>
      <w:r>
        <w:rPr>
          <w:rFonts w:ascii="Courier New" w:cs="Courier New" w:eastAsia="Courier New" w:hAnsi="Courier New"/>
          <w:sz w:val="14"/>
          <w:szCs w:val="14"/>
          <w:color w:val="auto"/>
        </w:rPr>
        <w:t>Fidelity Institutional Retirement Services Company was appointed by the Administrative Committee to maintain individual participant accounts and records therein all participant contributions, Company and AKTA matching contributions and investment income attributable to each participant. For purposes of ERISA, the Company is the "plan administrator".</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Termination of the Plan</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The Company expects to continue the Plan indefinitely and expects to continue to make contributions under the Plan. However, there is no contractual commitment that the Plan will be continued and the Company's Board of Directors may alter or terminate the Plan at any time and for any reason subject to the provisions of ERISA. In the event of Plan termination, participants will become 100 percent vested in their accounts.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Expenses of the Plan</w:t>
      </w:r>
    </w:p>
    <w:p>
      <w:pPr>
        <w:spacing w:after="0" w:line="175" w:lineRule="exact"/>
        <w:rPr>
          <w:sz w:val="20"/>
          <w:szCs w:val="20"/>
          <w:color w:val="auto"/>
        </w:rPr>
      </w:pPr>
    </w:p>
    <w:p>
      <w:pPr>
        <w:ind w:left="180" w:right="3279"/>
        <w:spacing w:after="0" w:line="254" w:lineRule="auto"/>
        <w:rPr>
          <w:sz w:val="20"/>
          <w:szCs w:val="20"/>
          <w:color w:val="auto"/>
        </w:rPr>
      </w:pPr>
      <w:r>
        <w:rPr>
          <w:rFonts w:ascii="Courier New" w:cs="Courier New" w:eastAsia="Courier New" w:hAnsi="Courier New"/>
          <w:sz w:val="14"/>
          <w:szCs w:val="14"/>
          <w:color w:val="auto"/>
        </w:rPr>
        <w:t>All expenses incurred in the administration of the Plan, including legal and trustee fees, are funded by the Company, and consequently are not reflected in the financial statements. Brokerage commissions and other charges incurred in connection with investment transactions are paid out of the assets of the respective fund.</w:t>
      </w:r>
    </w:p>
    <w:p>
      <w:pPr>
        <w:spacing w:after="0" w:line="162" w:lineRule="exact"/>
        <w:rPr>
          <w:sz w:val="20"/>
          <w:szCs w:val="20"/>
          <w:color w:val="auto"/>
        </w:rPr>
      </w:pPr>
    </w:p>
    <w:p>
      <w:pPr>
        <w:ind w:left="540" w:hanging="357"/>
        <w:spacing w:after="0"/>
        <w:tabs>
          <w:tab w:leader="none" w:pos="5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w:t>
      </w:r>
    </w:p>
    <w:p>
      <w:pPr>
        <w:spacing w:after="0" w:line="175" w:lineRule="exact"/>
        <w:rPr>
          <w:sz w:val="20"/>
          <w:szCs w:val="20"/>
          <w:color w:val="auto"/>
        </w:rPr>
      </w:pPr>
    </w:p>
    <w:p>
      <w:pPr>
        <w:ind w:left="180" w:right="3459"/>
        <w:spacing w:after="0" w:line="254" w:lineRule="auto"/>
        <w:rPr>
          <w:sz w:val="20"/>
          <w:szCs w:val="20"/>
          <w:color w:val="auto"/>
        </w:rPr>
      </w:pPr>
      <w:r>
        <w:rPr>
          <w:rFonts w:ascii="Courier New" w:cs="Courier New" w:eastAsia="Courier New" w:hAnsi="Courier New"/>
          <w:sz w:val="14"/>
          <w:szCs w:val="14"/>
          <w:color w:val="auto"/>
        </w:rPr>
        <w:t>Below are general guidelines with respect to participant and accompanying Company and AKTA contributions. Participants, the Company and AKTA are subject to certain rules of the Internal Revenue Code which may further limit the contributions allowable.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Participant Contributions</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180" w:right="3279"/>
        <w:spacing w:after="0" w:line="253" w:lineRule="auto"/>
        <w:rPr>
          <w:sz w:val="20"/>
          <w:szCs w:val="20"/>
          <w:color w:val="auto"/>
        </w:rPr>
      </w:pPr>
      <w:r>
        <w:rPr>
          <w:rFonts w:ascii="Courier New" w:cs="Courier New" w:eastAsia="Courier New" w:hAnsi="Courier New"/>
          <w:sz w:val="14"/>
          <w:szCs w:val="14"/>
          <w:color w:val="auto"/>
        </w:rPr>
        <w:t>Each participant may elect to defer from 1% to 12% of compensation (defined as base pay plus overtime, excluding any bonuses or commissions). These salary deferral contributions are invested at the direction of the participant and share in the earnings and gains (or losses) of each investment fund selected. These salary deferral accounts are always 100% vested.</w:t>
      </w:r>
    </w:p>
    <w:p>
      <w:pPr>
        <w:spacing w:after="0" w:line="165" w:lineRule="exact"/>
        <w:rPr>
          <w:sz w:val="20"/>
          <w:szCs w:val="20"/>
          <w:color w:val="auto"/>
        </w:rPr>
      </w:pPr>
    </w:p>
    <w:p>
      <w:pPr>
        <w:ind w:left="180" w:right="3459"/>
        <w:spacing w:after="0" w:line="254" w:lineRule="auto"/>
        <w:rPr>
          <w:sz w:val="20"/>
          <w:szCs w:val="20"/>
          <w:color w:val="auto"/>
        </w:rPr>
      </w:pPr>
      <w:r>
        <w:rPr>
          <w:rFonts w:ascii="Courier New" w:cs="Courier New" w:eastAsia="Courier New" w:hAnsi="Courier New"/>
          <w:sz w:val="14"/>
          <w:szCs w:val="14"/>
          <w:color w:val="auto"/>
        </w:rPr>
        <w:t>Participants may change their contribution percentage once during each calendar quarter. A participant may suspend contributions at any time and resume contributions on the first day of the calendar quarter after the suspension.</w:t>
      </w:r>
    </w:p>
    <w:p>
      <w:pPr>
        <w:spacing w:after="0" w:line="163" w:lineRule="exact"/>
        <w:rPr>
          <w:sz w:val="20"/>
          <w:szCs w:val="20"/>
          <w:color w:val="auto"/>
        </w:rPr>
      </w:pPr>
    </w:p>
    <w:p>
      <w:pPr>
        <w:ind w:left="180" w:right="3379"/>
        <w:spacing w:after="0" w:line="253" w:lineRule="auto"/>
        <w:rPr>
          <w:sz w:val="20"/>
          <w:szCs w:val="20"/>
          <w:color w:val="auto"/>
        </w:rPr>
      </w:pPr>
      <w:r>
        <w:rPr>
          <w:rFonts w:ascii="Courier New" w:cs="Courier New" w:eastAsia="Courier New" w:hAnsi="Courier New"/>
          <w:sz w:val="14"/>
          <w:szCs w:val="14"/>
          <w:color w:val="auto"/>
        </w:rPr>
        <w:t>The maximum annual salary deferral contribution was $9,240 for 1994 and will also be $9,240 for 1995. This limitation applies in the aggregate for all elective deferrals to all plans made by the participant during the year. Accordingly, new participants who have made contributions to 401(k) plans with their prior employer must aggregate all contributions for purposes of the limit.</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Company and AKTA Contributions</w:t>
      </w:r>
    </w:p>
    <w:p>
      <w:pPr>
        <w:spacing w:after="0" w:line="175" w:lineRule="exact"/>
        <w:rPr>
          <w:sz w:val="20"/>
          <w:szCs w:val="20"/>
          <w:color w:val="auto"/>
        </w:rPr>
      </w:pPr>
    </w:p>
    <w:p>
      <w:pPr>
        <w:ind w:left="180" w:right="3279"/>
        <w:spacing w:after="0" w:line="252" w:lineRule="auto"/>
        <w:rPr>
          <w:sz w:val="20"/>
          <w:szCs w:val="20"/>
          <w:color w:val="auto"/>
        </w:rPr>
      </w:pPr>
      <w:r>
        <w:rPr>
          <w:rFonts w:ascii="Courier New" w:cs="Courier New" w:eastAsia="Courier New" w:hAnsi="Courier New"/>
          <w:sz w:val="14"/>
          <w:szCs w:val="14"/>
          <w:color w:val="auto"/>
        </w:rPr>
        <w:t>The participants in the Plan become eligible for the Company and AKTA matching contributions immediately upon joining the Plan. The Company and AKTA match 100% of participant contributions, up to the first 3% of compensation contributed, and 50% on every dollar between 3% and 6% of compensation contributed. The Company's and AKTA's contributions are made biweekly. Company and AKTA matching contributions may be made in the form of cash, shares of Applied Materials, Inc. Common Stock or a combination of both. The trustee will use the cash contributions to purchase shares of Applied Materials Common Stock on the open market (at the then prevailing market price), directly from the Company, or from other persons in private transactions (but in either of the latter cases only at the closing price in the open market on the next preceding business day on which the shares were traded). The Company and AKTA can make an additional discretionary matching contribution in excess of the 50% match but not greater than 150%. No additional matching contributions were made during 1994.</w:t>
      </w:r>
    </w:p>
    <w:p>
      <w:pPr>
        <w:spacing w:after="0" w:line="173" w:lineRule="exact"/>
        <w:rPr>
          <w:sz w:val="20"/>
          <w:szCs w:val="20"/>
          <w:color w:val="auto"/>
        </w:rPr>
      </w:pPr>
    </w:p>
    <w:p>
      <w:pPr>
        <w:ind w:left="180" w:right="3379"/>
        <w:spacing w:after="0" w:line="254" w:lineRule="auto"/>
        <w:rPr>
          <w:sz w:val="20"/>
          <w:szCs w:val="20"/>
          <w:color w:val="auto"/>
        </w:rPr>
      </w:pPr>
      <w:r>
        <w:rPr>
          <w:rFonts w:ascii="Courier New" w:cs="Courier New" w:eastAsia="Courier New" w:hAnsi="Courier New"/>
          <w:sz w:val="14"/>
          <w:szCs w:val="14"/>
          <w:color w:val="auto"/>
        </w:rPr>
        <w:t>The participant becomes fully vested in the portion of the Company or AKTA matching contribution allocated to his or her account if employed by the Company or AKTA upon a) normal retirement (age 65 or older), b) permanent disability, c) death, or d) after a</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6" w:right="1440" w:bottom="1440" w:gutter="0" w:footer="0" w:header="0"/>
        </w:sectPr>
      </w:pPr>
    </w:p>
    <w:bookmarkStart w:id="10" w:name="page11"/>
    <w:bookmarkEnd w:id="10"/>
    <w:p>
      <w:pPr>
        <w:ind w:left="251"/>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431" w:right="3379"/>
        <w:spacing w:after="0" w:line="255" w:lineRule="auto"/>
        <w:rPr>
          <w:sz w:val="20"/>
          <w:szCs w:val="20"/>
          <w:color w:val="auto"/>
        </w:rPr>
      </w:pPr>
      <w:r>
        <w:rPr>
          <w:rFonts w:ascii="Courier New" w:cs="Courier New" w:eastAsia="Courier New" w:hAnsi="Courier New"/>
          <w:sz w:val="14"/>
          <w:szCs w:val="14"/>
          <w:color w:val="auto"/>
        </w:rPr>
        <w:t>designated time period per the applicable vesting schedule. The Plan provides that vesting of the Company or AKTA matching contribution will be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211" w:type="dxa"/>
        <w:tblCellMar>
          <w:top w:w="0" w:type="dxa"/>
          <w:left w:w="0" w:type="dxa"/>
          <w:bottom w:w="0" w:type="dxa"/>
          <w:right w:w="0" w:type="dxa"/>
        </w:tblCellMar>
      </w:tblPr>
      <w:tr>
        <w:trPr>
          <w:trHeight w:val="162"/>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Years of Service</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Vested Percentage</w:t>
            </w:r>
          </w:p>
        </w:tc>
      </w:tr>
      <w:tr>
        <w:trPr>
          <w:trHeight w:val="167"/>
        </w:trPr>
        <w:tc>
          <w:tcPr>
            <w:tcW w:w="38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Less than three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r>
      <w:tr>
        <w:trPr>
          <w:trHeight w:val="167"/>
        </w:trPr>
        <w:tc>
          <w:tcPr>
            <w:tcW w:w="3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but less than four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Four but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less than five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Five but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less than six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w:t>
            </w:r>
          </w:p>
        </w:tc>
      </w:tr>
      <w:tr>
        <w:trPr>
          <w:trHeight w:val="167"/>
        </w:trPr>
        <w:tc>
          <w:tcPr>
            <w:tcW w:w="3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Six but less than seven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Seven or</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more years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bl>
    <w:p>
      <w:pPr>
        <w:spacing w:after="0" w:line="338" w:lineRule="exact"/>
        <w:rPr>
          <w:sz w:val="20"/>
          <w:szCs w:val="20"/>
          <w:color w:val="auto"/>
        </w:rPr>
      </w:pPr>
    </w:p>
    <w:p>
      <w:pPr>
        <w:ind w:left="431" w:right="3279"/>
        <w:spacing w:after="0" w:line="253" w:lineRule="auto"/>
        <w:rPr>
          <w:sz w:val="20"/>
          <w:szCs w:val="20"/>
          <w:color w:val="auto"/>
        </w:rPr>
      </w:pPr>
      <w:r>
        <w:rPr>
          <w:rFonts w:ascii="Courier New" w:cs="Courier New" w:eastAsia="Courier New" w:hAnsi="Courier New"/>
          <w:sz w:val="14"/>
          <w:szCs w:val="14"/>
          <w:color w:val="auto"/>
        </w:rPr>
        <w:t>If a participant leaves the Company or AKTA prior to retirement, the portion of his or her matching account which is not vested will be forfeited. Matching account forfeitures can be used to offset the Company's or AKTA's required matching contribution, as applicable. Forfeitures available to reduce future matching contributions at December 31, 1994 and 1993 were $345,808 and $304,401, respectively, and were temporarily invested in Fund A.</w:t>
      </w:r>
    </w:p>
    <w:p>
      <w:pPr>
        <w:spacing w:after="0" w:line="332" w:lineRule="exact"/>
        <w:rPr>
          <w:sz w:val="20"/>
          <w:szCs w:val="20"/>
          <w:color w:val="auto"/>
        </w:rPr>
      </w:pPr>
    </w:p>
    <w:p>
      <w:pPr>
        <w:ind w:left="431" w:right="3279"/>
        <w:spacing w:after="0" w:line="254" w:lineRule="auto"/>
        <w:rPr>
          <w:sz w:val="20"/>
          <w:szCs w:val="20"/>
          <w:color w:val="auto"/>
        </w:rPr>
      </w:pPr>
      <w:r>
        <w:rPr>
          <w:rFonts w:ascii="Courier New" w:cs="Courier New" w:eastAsia="Courier New" w:hAnsi="Courier New"/>
          <w:sz w:val="14"/>
          <w:szCs w:val="14"/>
          <w:color w:val="auto"/>
        </w:rPr>
        <w:t>The Plan contains a rehire provision whereby if a participant leaves the Company or AKTA and at a later date is rehired before being separated for five consecutive years, the forfeited portion of his or her account will be restored as of the date of the rehire.</w:t>
      </w:r>
    </w:p>
    <w:p>
      <w:pPr>
        <w:spacing w:after="0" w:line="163" w:lineRule="exact"/>
        <w:rPr>
          <w:sz w:val="20"/>
          <w:szCs w:val="20"/>
          <w:color w:val="auto"/>
        </w:rPr>
      </w:pPr>
    </w:p>
    <w:p>
      <w:pPr>
        <w:ind w:left="431" w:hanging="431"/>
        <w:spacing w:after="0"/>
        <w:tabs>
          <w:tab w:leader="none" w:pos="43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5"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permits participants to direct and/or redirect their prospective salary deferrals and/or their existing account balances into one of the available investment funds or divide them among the funds. All matching contributions are invested solely in Fund C, the Company Stock Fund. All of the funds, except the Company Stock Fund, are managed by Fidelity Investments.</w:t>
      </w:r>
    </w:p>
    <w:p>
      <w:pPr>
        <w:spacing w:after="0" w:line="165" w:lineRule="exact"/>
        <w:rPr>
          <w:rFonts w:ascii="Courier New" w:cs="Courier New" w:eastAsia="Courier New" w:hAnsi="Courier New"/>
          <w:sz w:val="14"/>
          <w:szCs w:val="14"/>
          <w:color w:val="auto"/>
        </w:rPr>
      </w:pPr>
    </w:p>
    <w:p>
      <w:pPr>
        <w:ind w:left="431"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five investment funds available during 1994 and their investment objectives are as follows:</w:t>
      </w:r>
    </w:p>
    <w:p>
      <w:pPr>
        <w:spacing w:after="0" w:line="159" w:lineRule="exact"/>
        <w:rPr>
          <w:rFonts w:ascii="Courier New" w:cs="Courier New" w:eastAsia="Courier New" w:hAnsi="Courier New"/>
          <w:sz w:val="14"/>
          <w:szCs w:val="14"/>
          <w:color w:val="auto"/>
        </w:rPr>
      </w:pPr>
    </w:p>
    <w:p>
      <w:pPr>
        <w:ind w:left="1391" w:right="3379" w:hanging="955"/>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Fund A:"Fidelity Retirement Government Money Market Portfolio" (RGMMP) - the primary objective of this Fund is to maintain safety of principal while producing reasonable interest income. Investments are in units of the Fidelity RGMMP.</w:t>
      </w:r>
    </w:p>
    <w:p>
      <w:pPr>
        <w:spacing w:after="0" w:line="200" w:lineRule="exact"/>
        <w:rPr>
          <w:sz w:val="20"/>
          <w:szCs w:val="20"/>
          <w:color w:val="auto"/>
        </w:rPr>
      </w:pPr>
    </w:p>
    <w:p>
      <w:pPr>
        <w:spacing w:after="0" w:line="29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0"/>
          </w:cols>
          <w:pgMar w:left="229" w:top="28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1140" w:right="3379"/>
        <w:spacing w:after="0" w:line="254" w:lineRule="auto"/>
        <w:rPr>
          <w:sz w:val="20"/>
          <w:szCs w:val="20"/>
          <w:color w:val="auto"/>
        </w:rPr>
      </w:pPr>
      <w:r>
        <w:rPr>
          <w:rFonts w:ascii="Courier New" w:cs="Courier New" w:eastAsia="Courier New" w:hAnsi="Courier New"/>
          <w:sz w:val="14"/>
          <w:szCs w:val="14"/>
          <w:color w:val="auto"/>
        </w:rPr>
        <w:t>RGMMP's assets are invested in obligations issued or guaranteed as to principal and interest by the U.S. government, its agencies or instrumentalities. The rate of return fluctuates daily as short-term interest rates change.</w:t>
      </w:r>
    </w:p>
    <w:p>
      <w:pPr>
        <w:spacing w:after="0" w:line="163" w:lineRule="exact"/>
        <w:rPr>
          <w:sz w:val="20"/>
          <w:szCs w:val="20"/>
          <w:color w:val="auto"/>
        </w:rPr>
      </w:pPr>
    </w:p>
    <w:p>
      <w:pPr>
        <w:ind w:left="1140" w:right="3279" w:hanging="1041"/>
        <w:spacing w:after="0" w:line="253" w:lineRule="auto"/>
        <w:tabs>
          <w:tab w:leader="none" w:pos="1120" w:val="left"/>
        </w:tabs>
        <w:rPr>
          <w:sz w:val="20"/>
          <w:szCs w:val="20"/>
          <w:color w:val="auto"/>
        </w:rPr>
      </w:pPr>
      <w:r>
        <w:rPr>
          <w:rFonts w:ascii="Courier New" w:cs="Courier New" w:eastAsia="Courier New" w:hAnsi="Courier New"/>
          <w:sz w:val="14"/>
          <w:szCs w:val="14"/>
          <w:color w:val="auto"/>
        </w:rPr>
        <w:t>Fund B:</w:t>
      </w:r>
      <w:r>
        <w:rPr>
          <w:sz w:val="20"/>
          <w:szCs w:val="20"/>
          <w:color w:val="auto"/>
        </w:rPr>
        <w:tab/>
      </w:r>
      <w:r>
        <w:rPr>
          <w:rFonts w:ascii="Courier New" w:cs="Courier New" w:eastAsia="Courier New" w:hAnsi="Courier New"/>
          <w:sz w:val="14"/>
          <w:szCs w:val="14"/>
          <w:color w:val="auto"/>
        </w:rPr>
        <w:t>"Fidelity Equity Income Fund" - The investment objective of this Fund is to focus on income from equity investments and long-term appreciation. At least 80% of this fund's portfolio is invested in income-producing common and preferred stocks; the remainder tends to be invested in debt securities. The Equity Income Fund invests in securities of varying quality, but the fund does not expect to purchase securities of companies without proven earnings or credit. The fund diversifies investments among a variety of industries to help reduce risk of the overall investment.</w:t>
      </w:r>
    </w:p>
    <w:p>
      <w:pPr>
        <w:spacing w:after="0" w:line="331" w:lineRule="exact"/>
        <w:rPr>
          <w:sz w:val="20"/>
          <w:szCs w:val="20"/>
          <w:color w:val="auto"/>
        </w:rPr>
      </w:pPr>
    </w:p>
    <w:p>
      <w:pPr>
        <w:ind w:left="1140" w:right="3379" w:hanging="1041"/>
        <w:spacing w:after="0" w:line="253" w:lineRule="auto"/>
        <w:tabs>
          <w:tab w:leader="none" w:pos="1120" w:val="left"/>
        </w:tabs>
        <w:rPr>
          <w:sz w:val="20"/>
          <w:szCs w:val="20"/>
          <w:color w:val="auto"/>
        </w:rPr>
      </w:pPr>
      <w:r>
        <w:rPr>
          <w:rFonts w:ascii="Courier New" w:cs="Courier New" w:eastAsia="Courier New" w:hAnsi="Courier New"/>
          <w:sz w:val="14"/>
          <w:szCs w:val="14"/>
          <w:color w:val="auto"/>
        </w:rPr>
        <w:t>Fund C:</w:t>
      </w:r>
      <w:r>
        <w:rPr>
          <w:sz w:val="20"/>
          <w:szCs w:val="20"/>
          <w:color w:val="auto"/>
        </w:rPr>
        <w:tab/>
      </w:r>
      <w:r>
        <w:rPr>
          <w:rFonts w:ascii="Courier New" w:cs="Courier New" w:eastAsia="Courier New" w:hAnsi="Courier New"/>
          <w:sz w:val="14"/>
          <w:szCs w:val="14"/>
          <w:color w:val="auto"/>
        </w:rPr>
        <w:t>"Company Stock Fund" - The sole investment objective of this fund is to acquire and hold shares of Company Common Stock. The fund will purchase either newly issued shares of Common Stock from the Company or issued and outstanding shares in the open market or in private transactions. No brokerage commissions are charged on shares of Common Stock purchased from the Company or in private transactions from any other person.</w:t>
      </w:r>
    </w:p>
    <w:p>
      <w:pPr>
        <w:spacing w:after="0" w:line="165" w:lineRule="exact"/>
        <w:rPr>
          <w:sz w:val="20"/>
          <w:szCs w:val="20"/>
          <w:color w:val="auto"/>
        </w:rPr>
      </w:pPr>
    </w:p>
    <w:p>
      <w:pPr>
        <w:ind w:left="1140" w:right="3379" w:hanging="1041"/>
        <w:spacing w:after="0" w:line="253" w:lineRule="auto"/>
        <w:tabs>
          <w:tab w:leader="none" w:pos="1120" w:val="left"/>
        </w:tabs>
        <w:rPr>
          <w:sz w:val="20"/>
          <w:szCs w:val="20"/>
          <w:color w:val="auto"/>
        </w:rPr>
      </w:pPr>
      <w:r>
        <w:rPr>
          <w:rFonts w:ascii="Courier New" w:cs="Courier New" w:eastAsia="Courier New" w:hAnsi="Courier New"/>
          <w:sz w:val="14"/>
          <w:szCs w:val="14"/>
          <w:color w:val="auto"/>
        </w:rPr>
        <w:t>Fund D:</w:t>
      </w:r>
      <w:r>
        <w:rPr>
          <w:sz w:val="20"/>
          <w:szCs w:val="20"/>
          <w:color w:val="auto"/>
        </w:rPr>
        <w:tab/>
      </w:r>
      <w:r>
        <w:rPr>
          <w:rFonts w:ascii="Courier New" w:cs="Courier New" w:eastAsia="Courier New" w:hAnsi="Courier New"/>
          <w:sz w:val="14"/>
          <w:szCs w:val="14"/>
          <w:color w:val="auto"/>
        </w:rPr>
        <w:t>"Fidelity Intermediate Bond Fund" - The primary objective of this fund is to realize high current income and long-term return. The fund invests in corporate debt obligations, U.S. government obligations and in obligations of U.S. banks, including certificates of deposit and banker's acceptances. The average portfolio maturity ranges from three to ten years.</w:t>
      </w:r>
    </w:p>
    <w:p>
      <w:pPr>
        <w:spacing w:after="0" w:line="165" w:lineRule="exact"/>
        <w:rPr>
          <w:sz w:val="20"/>
          <w:szCs w:val="20"/>
          <w:color w:val="auto"/>
        </w:rPr>
      </w:pPr>
    </w:p>
    <w:p>
      <w:pPr>
        <w:ind w:left="1140" w:right="3279" w:hanging="1041"/>
        <w:spacing w:after="0" w:line="253" w:lineRule="auto"/>
        <w:tabs>
          <w:tab w:leader="none" w:pos="1120" w:val="left"/>
        </w:tabs>
        <w:rPr>
          <w:sz w:val="20"/>
          <w:szCs w:val="20"/>
          <w:color w:val="auto"/>
        </w:rPr>
      </w:pPr>
      <w:r>
        <w:rPr>
          <w:rFonts w:ascii="Courier New" w:cs="Courier New" w:eastAsia="Courier New" w:hAnsi="Courier New"/>
          <w:sz w:val="14"/>
          <w:szCs w:val="14"/>
          <w:color w:val="auto"/>
        </w:rPr>
        <w:t>Fund E:</w:t>
      </w:r>
      <w:r>
        <w:rPr>
          <w:sz w:val="20"/>
          <w:szCs w:val="20"/>
          <w:color w:val="auto"/>
        </w:rPr>
        <w:tab/>
      </w:r>
      <w:r>
        <w:rPr>
          <w:rFonts w:ascii="Courier New" w:cs="Courier New" w:eastAsia="Courier New" w:hAnsi="Courier New"/>
          <w:sz w:val="14"/>
          <w:szCs w:val="14"/>
          <w:color w:val="auto"/>
        </w:rPr>
        <w:t>"Fidelity Magellan Fund" - The investment objective of the Fidelity Magellan Fund is to seek long-term capital appreciation. This fund invests in common stocks, and securities convertible into common stock, issued by companies operating in the U.S. and/or abroad as well as foreign companies. Investments are made in large corporations as well as smaller, less well-known companies. The fund also diversifies investments among a variety of industries and sectors within the market to reduce overall risk.</w:t>
      </w:r>
    </w:p>
    <w:p>
      <w:pPr>
        <w:spacing w:after="0" w:line="164" w:lineRule="exact"/>
        <w:rPr>
          <w:sz w:val="20"/>
          <w:szCs w:val="20"/>
          <w:color w:val="auto"/>
        </w:rPr>
      </w:pPr>
    </w:p>
    <w:p>
      <w:pPr>
        <w:ind w:left="180" w:right="3379"/>
        <w:spacing w:after="0" w:line="255" w:lineRule="auto"/>
        <w:rPr>
          <w:sz w:val="20"/>
          <w:szCs w:val="20"/>
          <w:color w:val="auto"/>
        </w:rPr>
      </w:pPr>
      <w:r>
        <w:rPr>
          <w:rFonts w:ascii="Courier New" w:cs="Courier New" w:eastAsia="Courier New" w:hAnsi="Courier New"/>
          <w:sz w:val="14"/>
          <w:szCs w:val="14"/>
          <w:color w:val="auto"/>
        </w:rPr>
        <w:t>Presently, Funds A, B, D and E are invested in Fidelity mutual fund and money market shares bearing the name of the respective Funds (collectively the "Fidelity Funds"). The</w:t>
      </w: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86" w:right="1440" w:bottom="1440" w:gutter="0" w:footer="0" w:header="0"/>
        </w:sectPr>
      </w:pPr>
    </w:p>
    <w:bookmarkStart w:id="12" w:name="page13"/>
    <w:bookmarkEnd w:id="12"/>
    <w:p>
      <w:pPr>
        <w:ind w:left="251"/>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431" w:right="3719"/>
        <w:spacing w:after="0" w:line="258" w:lineRule="auto"/>
        <w:rPr>
          <w:sz w:val="20"/>
          <w:szCs w:val="20"/>
          <w:color w:val="auto"/>
        </w:rPr>
      </w:pPr>
      <w:r>
        <w:rPr>
          <w:rFonts w:ascii="Courier New" w:cs="Courier New" w:eastAsia="Courier New" w:hAnsi="Courier New"/>
          <w:sz w:val="14"/>
          <w:szCs w:val="14"/>
          <w:color w:val="auto"/>
        </w:rPr>
        <w:t>Fidelity Funds are open-end, diversified investment companies ("mutual funds"), the shares of which are publicly held.</w:t>
      </w:r>
    </w:p>
    <w:p>
      <w:pPr>
        <w:spacing w:after="0" w:line="160" w:lineRule="exact"/>
        <w:rPr>
          <w:sz w:val="20"/>
          <w:szCs w:val="20"/>
          <w:color w:val="auto"/>
        </w:rPr>
      </w:pPr>
    </w:p>
    <w:p>
      <w:pPr>
        <w:ind w:left="431" w:right="3979"/>
        <w:spacing w:after="0" w:line="258" w:lineRule="auto"/>
        <w:rPr>
          <w:sz w:val="20"/>
          <w:szCs w:val="20"/>
          <w:color w:val="auto"/>
        </w:rPr>
      </w:pPr>
      <w:r>
        <w:rPr>
          <w:rFonts w:ascii="Courier New" w:cs="Courier New" w:eastAsia="Courier New" w:hAnsi="Courier New"/>
          <w:sz w:val="14"/>
          <w:szCs w:val="14"/>
          <w:color w:val="auto"/>
        </w:rPr>
        <w:t>None of the investment funds described above carries a guarantee of principal or rate of return.</w:t>
      </w:r>
    </w:p>
    <w:p>
      <w:pPr>
        <w:spacing w:after="0" w:line="160" w:lineRule="exact"/>
        <w:rPr>
          <w:sz w:val="20"/>
          <w:szCs w:val="20"/>
          <w:color w:val="auto"/>
        </w:rPr>
      </w:pPr>
    </w:p>
    <w:p>
      <w:pPr>
        <w:ind w:left="431" w:hanging="431"/>
        <w:spacing w:after="0"/>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to Plan Participants</w:t>
      </w:r>
    </w:p>
    <w:p>
      <w:pPr>
        <w:spacing w:after="0" w:line="175" w:lineRule="exact"/>
        <w:rPr>
          <w:rFonts w:ascii="Courier New" w:cs="Courier New" w:eastAsia="Courier New" w:hAnsi="Courier New"/>
          <w:sz w:val="14"/>
          <w:szCs w:val="14"/>
          <w:color w:val="auto"/>
        </w:rPr>
      </w:pPr>
    </w:p>
    <w:p>
      <w:pPr>
        <w:ind w:left="43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may borrow up to 50% of their vested account balance. The minimum and maximum loan amounts are $1,000 and $50,000, respectively, although as required by law, certain participants have lower maximum permitted loan amounts. The loans are secured by the balance in the participant's account and bear a fixed interest rate based on the prime rate plus 1% at the time of the borrowing. Interest rates at December 31, 1994 range from 7% to 9.5%. Repayments of loans are made by payroll deductions in equal installments over the life of the loan. Loan terms are a minimum of one year and a maximum of five years. Loans are payable in full upon the participant's termination of employment from the Company or AKTA, or the occurrence of certain other events.</w:t>
      </w:r>
    </w:p>
    <w:p>
      <w:pPr>
        <w:spacing w:after="0" w:line="163"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Status of the Plan</w:t>
      </w:r>
    </w:p>
    <w:p>
      <w:pPr>
        <w:spacing w:after="0" w:line="175" w:lineRule="exact"/>
        <w:rPr>
          <w:rFonts w:ascii="Courier New" w:cs="Courier New" w:eastAsia="Courier New" w:hAnsi="Courier New"/>
          <w:sz w:val="14"/>
          <w:szCs w:val="14"/>
          <w:color w:val="auto"/>
        </w:rPr>
      </w:pPr>
    </w:p>
    <w:p>
      <w:pPr>
        <w:ind w:left="431"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amended and restated the Plan as of March 31, 1995 to reflect current requirements of the Internal Revenue Code (IRC) and has applied for a determination letter from the IRS that the Plan continues to constitute a qualified plan, and that the trust continues to be tax-exempt. The Company has made (or will make) all amendments to the Plan necessary or appropriate to ensure that the Company will receive a favorable determination letter covering the Plan and accordingly, expects to receive a favorable determination letter in due course. The Company believes that the Plan is currently being operated in compliance with the applicable requirements</w:t>
      </w:r>
    </w:p>
    <w:p>
      <w:pPr>
        <w:spacing w:after="0" w:line="3" w:lineRule="exact"/>
        <w:rPr>
          <w:rFonts w:ascii="Courier New" w:cs="Courier New" w:eastAsia="Courier New" w:hAnsi="Courier New"/>
          <w:sz w:val="14"/>
          <w:szCs w:val="14"/>
          <w:color w:val="auto"/>
        </w:rPr>
      </w:pPr>
    </w:p>
    <w:p>
      <w:pPr>
        <w:ind w:left="431" w:right="41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IRC. Accordingly, no provision for federal or state income taxes has been provided.</w:t>
      </w:r>
    </w:p>
    <w:p>
      <w:pPr>
        <w:spacing w:after="0" w:line="327"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0"/>
          </w:cols>
          <w:pgMar w:left="229" w:top="286"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68"/>
        </w:trPr>
        <w:tc>
          <w:tcPr>
            <w:tcW w:w="5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APPLIED MATERIALS, INC.</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5080" w:type="dxa"/>
            <w:vAlign w:val="bottom"/>
            <w:gridSpan w:val="2"/>
          </w:tcPr>
          <w:p>
            <w:pPr>
              <w:jc w:val="center"/>
              <w:ind w:left="1808"/>
              <w:spacing w:after="0"/>
              <w:rPr>
                <w:sz w:val="20"/>
                <w:szCs w:val="20"/>
                <w:color w:val="auto"/>
              </w:rPr>
            </w:pPr>
            <w:r>
              <w:rPr>
                <w:rFonts w:ascii="Courier New" w:cs="Courier New" w:eastAsia="Courier New" w:hAnsi="Courier New"/>
                <w:sz w:val="14"/>
                <w:szCs w:val="14"/>
                <w:color w:val="auto"/>
              </w:rPr>
              <w:t>EMPLOYEE SAVINGS AND RETIREMENT PLAN</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300" w:type="dxa"/>
            <w:vAlign w:val="bottom"/>
            <w:gridSpan w:val="3"/>
          </w:tcPr>
          <w:p>
            <w:pPr>
              <w:jc w:val="center"/>
              <w:ind w:left="608"/>
              <w:spacing w:after="0"/>
              <w:rPr>
                <w:sz w:val="20"/>
                <w:szCs w:val="20"/>
                <w:color w:val="auto"/>
              </w:rPr>
            </w:pPr>
            <w:r>
              <w:rPr>
                <w:rFonts w:ascii="Courier New" w:cs="Courier New" w:eastAsia="Courier New" w:hAnsi="Courier New"/>
                <w:sz w:val="14"/>
                <w:szCs w:val="14"/>
                <w:color w:val="auto"/>
              </w:rPr>
              <w:t>SCHEDULE 27a - SCHEDULE OF ASSETS HELD FOR INVESTMENT PURPOSES</w:t>
            </w:r>
          </w:p>
        </w:tc>
        <w:tc>
          <w:tcPr>
            <w:tcW w:w="1260" w:type="dxa"/>
            <w:vAlign w:val="bottom"/>
          </w:tcPr>
          <w:p>
            <w:pPr>
              <w:spacing w:after="0"/>
              <w:rPr>
                <w:sz w:val="14"/>
                <w:szCs w:val="14"/>
                <w:color w:val="auto"/>
              </w:rPr>
            </w:pPr>
          </w:p>
        </w:tc>
      </w:tr>
      <w:tr>
        <w:trPr>
          <w:trHeight w:val="334"/>
        </w:trPr>
        <w:tc>
          <w:tcPr>
            <w:tcW w:w="5080" w:type="dxa"/>
            <w:vAlign w:val="bottom"/>
            <w:gridSpan w:val="2"/>
          </w:tcPr>
          <w:p>
            <w:pPr>
              <w:ind w:left="2780"/>
              <w:spacing w:after="0"/>
              <w:rPr>
                <w:sz w:val="20"/>
                <w:szCs w:val="20"/>
                <w:color w:val="auto"/>
              </w:rPr>
            </w:pPr>
            <w:r>
              <w:rPr>
                <w:rFonts w:ascii="Courier New" w:cs="Courier New" w:eastAsia="Courier New" w:hAnsi="Courier New"/>
                <w:sz w:val="14"/>
                <w:szCs w:val="14"/>
                <w:color w:val="auto"/>
              </w:rPr>
              <w:t>DECEMBER 31, 1994</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1"/>
        </w:trPr>
        <w:tc>
          <w:tcPr>
            <w:tcW w:w="3360" w:type="dxa"/>
            <w:vAlign w:val="bottom"/>
          </w:tcPr>
          <w:p>
            <w:pPr>
              <w:spacing w:after="0"/>
              <w:rPr>
                <w:sz w:val="24"/>
                <w:szCs w:val="2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 or</w:t>
            </w:r>
          </w:p>
        </w:tc>
        <w:tc>
          <w:tcPr>
            <w:tcW w:w="1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Approximate</w:t>
            </w:r>
          </w:p>
        </w:tc>
      </w:tr>
      <w:tr>
        <w:trPr>
          <w:trHeight w:val="167"/>
        </w:trPr>
        <w:tc>
          <w:tcPr>
            <w:tcW w:w="3360" w:type="dxa"/>
            <w:vAlign w:val="bottom"/>
          </w:tcPr>
          <w:p>
            <w:pPr>
              <w:spacing w:after="0"/>
              <w:rPr>
                <w:sz w:val="14"/>
                <w:szCs w:val="14"/>
                <w:color w:val="auto"/>
              </w:rPr>
            </w:pP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Principal</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Historical</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Market</w:t>
            </w:r>
          </w:p>
        </w:tc>
      </w:tr>
      <w:tr>
        <w:trPr>
          <w:trHeight w:val="167"/>
        </w:trPr>
        <w:tc>
          <w:tcPr>
            <w:tcW w:w="3360" w:type="dxa"/>
            <w:vAlign w:val="bottom"/>
          </w:tcPr>
          <w:p>
            <w:pPr>
              <w:spacing w:after="0"/>
              <w:rPr>
                <w:sz w:val="14"/>
                <w:szCs w:val="14"/>
                <w:color w:val="auto"/>
              </w:rPr>
            </w:pP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Cost</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3360" w:type="dxa"/>
            <w:vAlign w:val="bottom"/>
          </w:tcPr>
          <w:p>
            <w:pPr>
              <w:spacing w:after="0"/>
              <w:rPr>
                <w:sz w:val="14"/>
                <w:szCs w:val="14"/>
                <w:color w:val="auto"/>
              </w:rPr>
            </w:pP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Fund A:</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Fidelity Retirement Government</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Money Market Fund</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7,758,813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$ 7,758,813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7,758,813</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Fund B:</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Fidelity Equity Income Fund</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321,173</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9,732,893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9,860,017</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Fund C:</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Applied Materials, Inc. Common Stock</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2,000,928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34,883,594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84,539,205</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Fund D:</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Fidelity Intermediate Bond Fund</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366,480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3,826,028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3,602,500</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Fund E:</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Fideltiy Magellan Fund</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280,338</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18,830,921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18,726,547</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Participant note's with interest rates</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which range from 7% to 9.5%.</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3,769,075</w:t>
            </w:r>
          </w:p>
        </w:tc>
      </w:tr>
      <w:tr>
        <w:trPr>
          <w:trHeight w:val="167"/>
        </w:trPr>
        <w:tc>
          <w:tcPr>
            <w:tcW w:w="3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Investments total</w:t>
            </w: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$ 128,256,157</w:t>
            </w:r>
          </w:p>
        </w:tc>
      </w:tr>
      <w:tr>
        <w:trPr>
          <w:trHeight w:val="167"/>
        </w:trPr>
        <w:tc>
          <w:tcPr>
            <w:tcW w:w="3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3360" w:type="dxa"/>
            <w:vAlign w:val="bottom"/>
          </w:tcPr>
          <w:p>
            <w:pPr>
              <w:spacing w:after="0"/>
              <w:rPr>
                <w:sz w:val="24"/>
                <w:szCs w:val="24"/>
                <w:color w:val="auto"/>
              </w:rPr>
            </w:pPr>
          </w:p>
        </w:tc>
        <w:tc>
          <w:tcPr>
            <w:tcW w:w="1720" w:type="dxa"/>
            <w:vAlign w:val="bottom"/>
          </w:tcPr>
          <w:p>
            <w:pPr>
              <w:jc w:val="center"/>
              <w:ind w:right="1408"/>
              <w:spacing w:after="0"/>
              <w:rPr>
                <w:sz w:val="20"/>
                <w:szCs w:val="20"/>
                <w:color w:val="auto"/>
              </w:rPr>
            </w:pPr>
            <w:r>
              <w:rPr>
                <w:rFonts w:ascii="Courier New" w:cs="Courier New" w:eastAsia="Courier New" w:hAnsi="Courier New"/>
                <w:sz w:val="14"/>
                <w:szCs w:val="14"/>
                <w:color w:val="auto"/>
                <w:w w:val="94"/>
              </w:rPr>
              <w:t>13</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APPLIED MATERIALS, INC.</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EMPLOYEE SAVINGS AND RETIREMENT PLAN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SCHEDULE 27d - SCHEDULE OF REPORTABLE TRANSACTIONS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YEAR ENDED DECEMBER 31, 1994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760" w:type="dxa"/>
            <w:vAlign w:val="bottom"/>
          </w:tcPr>
          <w:p>
            <w:pPr>
              <w:ind w:left="720"/>
              <w:spacing w:after="0"/>
              <w:rPr>
                <w:sz w:val="20"/>
                <w:szCs w:val="20"/>
                <w:color w:val="auto"/>
              </w:rPr>
            </w:pPr>
            <w:r>
              <w:rPr>
                <w:rFonts w:ascii="Courier New" w:cs="Courier New" w:eastAsia="Courier New" w:hAnsi="Courier New"/>
                <w:sz w:val="14"/>
                <w:szCs w:val="14"/>
                <w:color w:val="auto"/>
              </w:rPr>
              <w:t>Purchase Price and</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Sales Price and</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Historical</w:t>
            </w:r>
          </w:p>
        </w:tc>
        <w:tc>
          <w:tcPr>
            <w:tcW w:w="1120" w:type="dxa"/>
            <w:vAlign w:val="bottom"/>
          </w:tcPr>
          <w:p>
            <w:pPr>
              <w:spacing w:after="0"/>
              <w:rPr>
                <w:sz w:val="14"/>
                <w:szCs w:val="14"/>
                <w:color w:val="auto"/>
              </w:rPr>
            </w:pPr>
          </w:p>
        </w:tc>
      </w:tr>
      <w:tr>
        <w:trPr>
          <w:trHeight w:val="167"/>
        </w:trPr>
        <w:tc>
          <w:tcPr>
            <w:tcW w:w="3880" w:type="dxa"/>
            <w:vAlign w:val="bottom"/>
          </w:tcPr>
          <w:p>
            <w:pPr>
              <w:spacing w:after="0"/>
              <w:rPr>
                <w:sz w:val="14"/>
                <w:szCs w:val="14"/>
                <w:color w:val="auto"/>
              </w:rPr>
            </w:pP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Current Value of Asset</w:t>
            </w: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Current Value of Asset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Cost of</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Net</w:t>
            </w:r>
          </w:p>
        </w:tc>
      </w:tr>
      <w:tr>
        <w:trPr>
          <w:trHeight w:val="167"/>
        </w:trPr>
        <w:tc>
          <w:tcPr>
            <w:tcW w:w="3880" w:type="dxa"/>
            <w:vAlign w:val="bottom"/>
          </w:tcPr>
          <w:p>
            <w:pPr>
              <w:ind w:left="1140"/>
              <w:spacing w:after="0"/>
              <w:rPr>
                <w:sz w:val="20"/>
                <w:szCs w:val="20"/>
                <w:color w:val="auto"/>
              </w:rPr>
            </w:pPr>
            <w:r>
              <w:rPr>
                <w:rFonts w:ascii="Courier New" w:cs="Courier New" w:eastAsia="Courier New" w:hAnsi="Courier New"/>
                <w:sz w:val="14"/>
                <w:szCs w:val="14"/>
                <w:color w:val="auto"/>
              </w:rPr>
              <w:t>Issuer</w:t>
            </w:r>
          </w:p>
        </w:tc>
        <w:tc>
          <w:tcPr>
            <w:tcW w:w="2760" w:type="dxa"/>
            <w:vAlign w:val="bottom"/>
          </w:tcPr>
          <w:p>
            <w:pPr>
              <w:ind w:left="720"/>
              <w:spacing w:after="0"/>
              <w:rPr>
                <w:sz w:val="20"/>
                <w:szCs w:val="20"/>
                <w:color w:val="auto"/>
              </w:rPr>
            </w:pPr>
            <w:r>
              <w:rPr>
                <w:rFonts w:ascii="Courier New" w:cs="Courier New" w:eastAsia="Courier New" w:hAnsi="Courier New"/>
                <w:sz w:val="14"/>
                <w:szCs w:val="14"/>
                <w:color w:val="auto"/>
              </w:rPr>
              <w:t>On Transaction Date</w:t>
            </w:r>
          </w:p>
        </w:tc>
        <w:tc>
          <w:tcPr>
            <w:tcW w:w="2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On Transaction Date</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Assets Sold</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Gain/(Loss)</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76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Applied Materials, Inc. Common Stock</w:t>
            </w:r>
          </w:p>
        </w:tc>
        <w:tc>
          <w:tcPr>
            <w:tcW w:w="2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$ 16,821,996</w:t>
            </w: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$ 5,198,586</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$ 2,134,843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$ 3,063,743</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Fidelity Magellan Fund</w:t>
            </w:r>
          </w:p>
        </w:tc>
        <w:tc>
          <w:tcPr>
            <w:tcW w:w="2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7,804,230</w:t>
            </w: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3,345,324</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3,301,857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43,467</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Fidelity Equity Income Fund</w:t>
            </w:r>
          </w:p>
        </w:tc>
        <w:tc>
          <w:tcPr>
            <w:tcW w:w="2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4,478,170</w:t>
            </w: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1,468,156</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1,376,520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91,636</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Fidelity Retirement Government</w:t>
            </w:r>
          </w:p>
        </w:tc>
        <w:tc>
          <w:tcPr>
            <w:tcW w:w="2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3880" w:type="dxa"/>
            <w:vAlign w:val="bottom"/>
          </w:tcPr>
          <w:p>
            <w:pPr>
              <w:ind w:left="520"/>
              <w:spacing w:after="0"/>
              <w:rPr>
                <w:sz w:val="20"/>
                <w:szCs w:val="20"/>
                <w:color w:val="auto"/>
              </w:rPr>
            </w:pPr>
            <w:r>
              <w:rPr>
                <w:rFonts w:ascii="Courier New" w:cs="Courier New" w:eastAsia="Courier New" w:hAnsi="Courier New"/>
                <w:sz w:val="14"/>
                <w:szCs w:val="14"/>
                <w:color w:val="auto"/>
              </w:rPr>
              <w:t>Money Market Fund</w:t>
            </w:r>
          </w:p>
        </w:tc>
        <w:tc>
          <w:tcPr>
            <w:tcW w:w="2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3,207,359</w:t>
            </w:r>
          </w:p>
        </w:tc>
        <w:tc>
          <w:tcPr>
            <w:tcW w:w="2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1,961,069</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1,961,069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540"/>
          </w:cols>
          <w:pgMar w:left="220" w:top="286" w:right="13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the Registration Statement on Form S-8 (No. 33-52072) of Applied Materials, Inc. of our report dated May 22, 1995, which appears on page 4 of this Form 11-K.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Jose,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1"/>
    </w:lvl>
  </w:abstractNum>
  <w:abstractNum w:abstractNumId="2">
    <w:nsid w:val="46E87CCD"/>
    <w:multiLevelType w:val="hybridMultilevel"/>
    <w:lvl w:ilvl="0">
      <w:lvlJc w:val="left"/>
      <w:lvlText w:val="%1."/>
      <w:numFmt w:val="upperLetter"/>
      <w:start w:val="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2019-12-12T05:30:23Z</dcterms:created>
  <dcterms:modified xsi:type="dcterms:W3CDTF">2019-12-12T05:30:23Z</dcterms:modified>
</cp:coreProperties>
</file>